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6AE76" w14:textId="7DC8297F" w:rsidR="00C32D14" w:rsidRPr="002901A7" w:rsidRDefault="00C32D14" w:rsidP="00C32D14">
      <w:pPr>
        <w:rPr>
          <w:b/>
        </w:rPr>
      </w:pPr>
      <w:r w:rsidRPr="002901A7">
        <w:rPr>
          <w:b/>
        </w:rPr>
        <w:t>REPUBLIKA HRVATSKA</w:t>
      </w:r>
    </w:p>
    <w:p w14:paraId="1ADFA60F" w14:textId="77777777" w:rsidR="00C32D14" w:rsidRDefault="00C32D14" w:rsidP="00C32D14">
      <w:pPr>
        <w:rPr>
          <w:b/>
        </w:rPr>
      </w:pPr>
      <w:r>
        <w:rPr>
          <w:b/>
        </w:rPr>
        <w:t>MINISTARSTVO REGIONALNOGA RAZVOJA</w:t>
      </w:r>
    </w:p>
    <w:p w14:paraId="10F241FA" w14:textId="77777777" w:rsidR="00C32D14" w:rsidRPr="00F35B6A" w:rsidRDefault="00C32D14" w:rsidP="00C32D14">
      <w:pPr>
        <w:rPr>
          <w:b/>
        </w:rPr>
      </w:pPr>
      <w:r>
        <w:rPr>
          <w:b/>
        </w:rPr>
        <w:t>I FONDOVA EUROPSKE UNIJE</w:t>
      </w:r>
    </w:p>
    <w:p w14:paraId="17A54A6E" w14:textId="36588A8E" w:rsidR="00C32D14" w:rsidRDefault="00C32D14" w:rsidP="00C32D14">
      <w:pPr>
        <w:rPr>
          <w:i/>
        </w:rPr>
      </w:pPr>
    </w:p>
    <w:p w14:paraId="38FDC51B" w14:textId="77777777" w:rsidR="00C32D14" w:rsidRDefault="00C32D14" w:rsidP="00C32D14">
      <w:pPr>
        <w:rPr>
          <w:i/>
        </w:rPr>
      </w:pPr>
    </w:p>
    <w:p w14:paraId="3CB494E9" w14:textId="738FFA8D" w:rsidR="00C32D14" w:rsidRPr="00DD40FC" w:rsidRDefault="00C32D14" w:rsidP="00C32D14">
      <w:pPr>
        <w:jc w:val="center"/>
        <w:rPr>
          <w:b/>
          <w:bCs/>
          <w:i/>
          <w:sz w:val="28"/>
          <w:szCs w:val="28"/>
        </w:rPr>
      </w:pPr>
      <w:r w:rsidRPr="00DD40FC">
        <w:rPr>
          <w:b/>
          <w:bCs/>
          <w:i/>
          <w:sz w:val="28"/>
          <w:szCs w:val="28"/>
        </w:rPr>
        <w:t>BILJEŠKE UZ FINANCIJSKE IZVJEŠTAJE ZA 202</w:t>
      </w:r>
      <w:r w:rsidR="00825318">
        <w:rPr>
          <w:b/>
          <w:bCs/>
          <w:i/>
          <w:sz w:val="28"/>
          <w:szCs w:val="28"/>
        </w:rPr>
        <w:t>3</w:t>
      </w:r>
      <w:r w:rsidRPr="00DD40FC">
        <w:rPr>
          <w:b/>
          <w:bCs/>
          <w:i/>
          <w:sz w:val="28"/>
          <w:szCs w:val="28"/>
        </w:rPr>
        <w:t>. GODINU</w:t>
      </w:r>
    </w:p>
    <w:p w14:paraId="76C18F74" w14:textId="0A055A02" w:rsidR="00C32D14" w:rsidRPr="00DD40FC" w:rsidRDefault="00C32D14" w:rsidP="00C32D14">
      <w:pPr>
        <w:jc w:val="center"/>
        <w:rPr>
          <w:b/>
          <w:i/>
          <w:sz w:val="28"/>
          <w:szCs w:val="28"/>
        </w:rPr>
      </w:pPr>
    </w:p>
    <w:p w14:paraId="6F940F68" w14:textId="447690E6" w:rsidR="00C32D14" w:rsidRPr="00DD40FC" w:rsidRDefault="003E2D39" w:rsidP="00C32D1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</w:t>
      </w:r>
      <w:r w:rsidR="00C32D14" w:rsidRPr="00DD40FC">
        <w:rPr>
          <w:b/>
          <w:i/>
          <w:sz w:val="28"/>
          <w:szCs w:val="28"/>
        </w:rPr>
        <w:t>lava 06105</w:t>
      </w:r>
    </w:p>
    <w:p w14:paraId="7AA939B1" w14:textId="77777777" w:rsidR="00C32D14" w:rsidRDefault="00C32D14" w:rsidP="00C32D14">
      <w:pPr>
        <w:jc w:val="both"/>
        <w:rPr>
          <w:b/>
          <w:i/>
        </w:rPr>
      </w:pPr>
    </w:p>
    <w:p w14:paraId="49173283" w14:textId="77777777" w:rsidR="00C32D14" w:rsidRDefault="00C32D14" w:rsidP="00C32D14">
      <w:pPr>
        <w:jc w:val="both"/>
      </w:pPr>
      <w:r>
        <w:t xml:space="preserve">Ministarstvo regionalnog razvoja i fondova Europske unije osnovano je temeljem Zakona o ustrojstvu i djelokrugu ministarstava i središnjih tijela državne uprave (N.N. 150/11) od 22.12.2011 godine. </w:t>
      </w:r>
    </w:p>
    <w:p w14:paraId="19F9A522" w14:textId="77777777" w:rsidR="00C32D14" w:rsidRDefault="00C32D14" w:rsidP="00C32D14">
      <w:pPr>
        <w:jc w:val="both"/>
      </w:pPr>
      <w:r>
        <w:t>Vlada RH je dana 30.11.2018. godine donijela Uredbu o prestanku važenja Uredbe o osnivanju Agencije za regionalni razvoj, te prestanku rada ARR od 1. siječnja 2019. godine. Sve poslove i imovinu, financijska sredstva preuzima MRRFEU (čl.29.st.1 Zakona o ustrojstvu i djelokrugu rada ministarstava i drugih središnjih tijela državne uprave N.N. 113/18).</w:t>
      </w:r>
    </w:p>
    <w:p w14:paraId="1940BF27" w14:textId="77777777" w:rsidR="00C32D14" w:rsidRDefault="00C32D14" w:rsidP="00C32D14"/>
    <w:p w14:paraId="63F1FEAD" w14:textId="77777777" w:rsidR="00C32D14" w:rsidRPr="00925B5A" w:rsidRDefault="00C32D14" w:rsidP="00C32D14">
      <w:pPr>
        <w:ind w:left="2220"/>
        <w:rPr>
          <w:i/>
        </w:rPr>
      </w:pPr>
    </w:p>
    <w:p w14:paraId="354955CA" w14:textId="4239C9FC" w:rsidR="00C32D14" w:rsidRPr="00991164" w:rsidRDefault="00C32D14" w:rsidP="00991164">
      <w:pPr>
        <w:pStyle w:val="Heading1"/>
      </w:pPr>
      <w:r w:rsidRPr="00991164">
        <w:t>BILJEŠKE O PRIHODIMA I RASHODIMA, PRIMICIMA I IZDACIMA</w:t>
      </w:r>
    </w:p>
    <w:p w14:paraId="60F04206" w14:textId="5D0D5305" w:rsidR="00C32D14" w:rsidRDefault="00C32D14" w:rsidP="00C32D14"/>
    <w:p w14:paraId="6336BDCE" w14:textId="77777777" w:rsidR="00C32D14" w:rsidRDefault="00C32D14" w:rsidP="00C32D14"/>
    <w:p w14:paraId="7C21D836" w14:textId="77777777" w:rsidR="00C32D14" w:rsidRDefault="00C32D14" w:rsidP="00C32D14">
      <w:pPr>
        <w:rPr>
          <w:b/>
        </w:rPr>
      </w:pPr>
      <w:r w:rsidRPr="00506585">
        <w:rPr>
          <w:b/>
        </w:rPr>
        <w:t>Prihodi poslovanja</w:t>
      </w:r>
    </w:p>
    <w:p w14:paraId="39708F5F" w14:textId="77777777" w:rsidR="00C32D14" w:rsidRDefault="00C32D14" w:rsidP="00C32D14">
      <w:pPr>
        <w:rPr>
          <w:b/>
        </w:rPr>
      </w:pPr>
    </w:p>
    <w:p w14:paraId="5B6DE748" w14:textId="77777777" w:rsidR="00C32D14" w:rsidRDefault="00C32D14" w:rsidP="00C32D14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A24404" w:rsidRPr="00A24404" w14:paraId="40428024" w14:textId="77777777" w:rsidTr="00C32FF7">
        <w:tc>
          <w:tcPr>
            <w:tcW w:w="1413" w:type="dxa"/>
          </w:tcPr>
          <w:p w14:paraId="5FA2B1FB" w14:textId="77777777" w:rsidR="00A24404" w:rsidRPr="00A24404" w:rsidRDefault="00A24404" w:rsidP="00916FB9">
            <w:pPr>
              <w:rPr>
                <w:bCs/>
              </w:rPr>
            </w:pPr>
            <w:r w:rsidRPr="00A24404">
              <w:rPr>
                <w:bCs/>
              </w:rPr>
              <w:t>Šifra 6</w:t>
            </w:r>
          </w:p>
        </w:tc>
        <w:tc>
          <w:tcPr>
            <w:tcW w:w="7649" w:type="dxa"/>
          </w:tcPr>
          <w:p w14:paraId="7F92DD58" w14:textId="012CE65E" w:rsidR="00A24404" w:rsidRPr="00A24404" w:rsidRDefault="00A24404" w:rsidP="00991164">
            <w:pPr>
              <w:jc w:val="both"/>
            </w:pPr>
            <w:r w:rsidRPr="00A24404">
              <w:t xml:space="preserve">Ukupni prihodi poslovanja Ministarstva za izvještajno razdoblje iznose </w:t>
            </w:r>
            <w:r w:rsidR="00E34C55">
              <w:t>282</w:t>
            </w:r>
            <w:r w:rsidR="000369FA">
              <w:t>,5 mil.</w:t>
            </w:r>
            <w:r w:rsidR="00E34C55">
              <w:t>eur</w:t>
            </w:r>
            <w:r w:rsidRPr="00A24404">
              <w:t xml:space="preserve">, </w:t>
            </w:r>
            <w:r w:rsidR="000369FA">
              <w:t xml:space="preserve"> </w:t>
            </w:r>
            <w:r w:rsidRPr="00A24404">
              <w:t xml:space="preserve">što je za </w:t>
            </w:r>
            <w:r w:rsidR="00180E7F">
              <w:t>35</w:t>
            </w:r>
            <w:r w:rsidRPr="00A24404">
              <w:t>%</w:t>
            </w:r>
            <w:r w:rsidR="00180E7F">
              <w:t xml:space="preserve"> </w:t>
            </w:r>
            <w:r w:rsidRPr="00A24404">
              <w:t xml:space="preserve"> </w:t>
            </w:r>
            <w:r w:rsidR="00180E7F">
              <w:t xml:space="preserve">povećanje </w:t>
            </w:r>
            <w:r w:rsidRPr="00A24404">
              <w:t xml:space="preserve"> u usporedbi s prethodnom godinom. Razlog </w:t>
            </w:r>
            <w:r w:rsidR="00180E7F">
              <w:t>više</w:t>
            </w:r>
            <w:r w:rsidRPr="00A24404">
              <w:t xml:space="preserve"> ostvarenih prihoda vezan je za </w:t>
            </w:r>
            <w:r w:rsidR="00180E7F">
              <w:t>40</w:t>
            </w:r>
            <w:r w:rsidRPr="00A24404">
              <w:t xml:space="preserve"> m</w:t>
            </w:r>
            <w:r w:rsidR="00BD6275">
              <w:t>i</w:t>
            </w:r>
            <w:r w:rsidRPr="00A24404">
              <w:t>l.</w:t>
            </w:r>
            <w:r w:rsidR="00180E7F">
              <w:t xml:space="preserve"> eur</w:t>
            </w:r>
            <w:r w:rsidRPr="00A24404">
              <w:t xml:space="preserve"> </w:t>
            </w:r>
            <w:r w:rsidR="00180E7F">
              <w:t xml:space="preserve">većih </w:t>
            </w:r>
            <w:r w:rsidRPr="00A24404">
              <w:t xml:space="preserve"> prihoda iz </w:t>
            </w:r>
            <w:r w:rsidR="00180E7F">
              <w:t>EU izvora (kraj programskog razdoblja 2014-2020), te za 30 mil. eur većih prihoda iz proračun</w:t>
            </w:r>
            <w:r w:rsidRPr="00A24404">
              <w:t>, koji su</w:t>
            </w:r>
            <w:r w:rsidR="00180E7F">
              <w:t xml:space="preserve"> u korelaciji sa većim rashodima </w:t>
            </w:r>
            <w:r w:rsidRPr="00A24404">
              <w:t>vezanim uz sufinanciranje EU projekata</w:t>
            </w:r>
            <w:r w:rsidR="00180E7F">
              <w:t>, potpomognutih područja, razvoj otoka i regionalnih razvojnih projekata.</w:t>
            </w:r>
          </w:p>
        </w:tc>
      </w:tr>
    </w:tbl>
    <w:p w14:paraId="1E35592A" w14:textId="0ABA5FEE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DD40FC" w:rsidRPr="00DD40FC" w14:paraId="4F17B256" w14:textId="77777777" w:rsidTr="00C32FF7">
        <w:tc>
          <w:tcPr>
            <w:tcW w:w="1413" w:type="dxa"/>
          </w:tcPr>
          <w:p w14:paraId="2FEB0C96" w14:textId="77777777" w:rsidR="00DD40FC" w:rsidRPr="00DD40FC" w:rsidRDefault="00DD40FC" w:rsidP="00A0461E">
            <w:r w:rsidRPr="00DD40FC">
              <w:t>Šifra 63</w:t>
            </w:r>
          </w:p>
        </w:tc>
        <w:tc>
          <w:tcPr>
            <w:tcW w:w="7649" w:type="dxa"/>
          </w:tcPr>
          <w:p w14:paraId="674EA4DD" w14:textId="5F0BF1F0" w:rsidR="00DD40FC" w:rsidRPr="00DD40FC" w:rsidRDefault="00DD40FC" w:rsidP="00DD40FC">
            <w:pPr>
              <w:jc w:val="both"/>
            </w:pPr>
            <w:r w:rsidRPr="00DD40FC">
              <w:t>Pomoći iz inozemstva i od subjekata unutar opće države u strukturi ukupnih prihoda sudjeluju s 6</w:t>
            </w:r>
            <w:r w:rsidR="00180E7F">
              <w:t>2</w:t>
            </w:r>
            <w:r w:rsidRPr="00DD40FC">
              <w:t>%, dok je u 202</w:t>
            </w:r>
            <w:r w:rsidR="00180E7F">
              <w:t>2</w:t>
            </w:r>
            <w:r w:rsidRPr="00DD40FC">
              <w:t xml:space="preserve">. udio bio </w:t>
            </w:r>
            <w:r w:rsidR="00180E7F">
              <w:t>64</w:t>
            </w:r>
            <w:r w:rsidRPr="00DD40FC">
              <w:t>%.</w:t>
            </w:r>
            <w:r w:rsidR="00180E7F">
              <w:t xml:space="preserve"> </w:t>
            </w:r>
            <w:r w:rsidRPr="00DD40FC">
              <w:t xml:space="preserve">Cjelokupni iznos pomoći odnosi se na pomoći EU iz Europskog fonda za regionalni razvoj, Instrumenata europskog gospodarskog prostora, te IPA prekograničnih programa. </w:t>
            </w:r>
            <w:r w:rsidR="0037163F">
              <w:t>52</w:t>
            </w:r>
            <w:r w:rsidRPr="00DD40FC">
              <w:t xml:space="preserve"> % pomoći ima karakter kapitalne pomoći financiranje programa,</w:t>
            </w:r>
            <w:r w:rsidR="00376348">
              <w:t xml:space="preserve"> </w:t>
            </w:r>
            <w:r w:rsidRPr="00DD40FC">
              <w:t>dok se 4</w:t>
            </w:r>
            <w:r w:rsidR="0037163F">
              <w:t>8</w:t>
            </w:r>
            <w:r w:rsidRPr="00DD40FC">
              <w:t>% odnosi na tekuće pomoći–financiranje zajedničkog tehničkog  tajništva. Pored programa Konkurentnost i kohezija kao najvećeg programa, Ministarstvo provodi i programe teritorijalne suradnje IPA.</w:t>
            </w:r>
          </w:p>
        </w:tc>
      </w:tr>
    </w:tbl>
    <w:p w14:paraId="599965BD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DD40FC" w:rsidRPr="00DD40FC" w14:paraId="15A57776" w14:textId="77777777" w:rsidTr="00C32FF7">
        <w:tc>
          <w:tcPr>
            <w:tcW w:w="1413" w:type="dxa"/>
          </w:tcPr>
          <w:p w14:paraId="1330500F" w14:textId="77777777" w:rsidR="00DD40FC" w:rsidRPr="00DD40FC" w:rsidRDefault="00DD40FC" w:rsidP="005B1DFC">
            <w:r w:rsidRPr="00DD40FC">
              <w:t>Šifra 66</w:t>
            </w:r>
          </w:p>
        </w:tc>
        <w:tc>
          <w:tcPr>
            <w:tcW w:w="7649" w:type="dxa"/>
          </w:tcPr>
          <w:p w14:paraId="3F7C1103" w14:textId="6D42AB5A" w:rsidR="00DD40FC" w:rsidRPr="00DD40FC" w:rsidRDefault="00DD40FC" w:rsidP="005B1DFC">
            <w:r w:rsidRPr="00DD40FC">
              <w:t>Prihodi od prodaje proizvoda i robe te pruženih usluga iznose svega</w:t>
            </w:r>
            <w:r w:rsidR="00621F76">
              <w:t xml:space="preserve"> </w:t>
            </w:r>
            <w:r w:rsidR="003527C6">
              <w:t>2.96</w:t>
            </w:r>
            <w:r w:rsidR="00325F76">
              <w:t xml:space="preserve">5 </w:t>
            </w:r>
            <w:r w:rsidR="003527C6">
              <w:t xml:space="preserve"> eur </w:t>
            </w:r>
            <w:r w:rsidRPr="00DD40FC">
              <w:t xml:space="preserve"> i iznose svega </w:t>
            </w:r>
            <w:r w:rsidR="003527C6">
              <w:t>53</w:t>
            </w:r>
            <w:r w:rsidRPr="00DD40FC">
              <w:t>% od prošlogodišnjeg iznosa i odnose se isključivo na prihode od pružanja usluga u internom kafiću ministarstva.</w:t>
            </w:r>
          </w:p>
        </w:tc>
      </w:tr>
    </w:tbl>
    <w:p w14:paraId="7E8FFB27" w14:textId="00F4983B" w:rsidR="00C32D14" w:rsidRDefault="00C32D14" w:rsidP="00C32D14"/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49"/>
      </w:tblGrid>
      <w:tr w:rsidR="00DD40FC" w:rsidRPr="00DD40FC" w14:paraId="3BA1FBE3" w14:textId="77777777" w:rsidTr="00C32FF7">
        <w:tc>
          <w:tcPr>
            <w:tcW w:w="1418" w:type="dxa"/>
          </w:tcPr>
          <w:p w14:paraId="5EDAA81C" w14:textId="77777777" w:rsidR="00DD40FC" w:rsidRPr="00DD40FC" w:rsidRDefault="00DD40FC" w:rsidP="004D5B61">
            <w:r w:rsidRPr="00DD40FC">
              <w:t>Šifra 67</w:t>
            </w:r>
          </w:p>
        </w:tc>
        <w:tc>
          <w:tcPr>
            <w:tcW w:w="7649" w:type="dxa"/>
          </w:tcPr>
          <w:p w14:paraId="05702E04" w14:textId="562FC97A" w:rsidR="00DD40FC" w:rsidRPr="00DD40FC" w:rsidRDefault="00DD40FC" w:rsidP="00DD40FC">
            <w:pPr>
              <w:jc w:val="both"/>
            </w:pPr>
            <w:r w:rsidRPr="00DD40FC">
              <w:t>Prihodi iz proračuna iznose 3</w:t>
            </w:r>
            <w:r w:rsidR="00E06B4A">
              <w:t>8</w:t>
            </w:r>
            <w:r w:rsidRPr="00DD40FC">
              <w:t xml:space="preserve">%  ukupnih prihoda , a odnose se na prihode za financiranje rashoda poslovanja od </w:t>
            </w:r>
            <w:r w:rsidR="00E06B4A">
              <w:t>107,5</w:t>
            </w:r>
            <w:r w:rsidRPr="00DD40FC">
              <w:t xml:space="preserve"> mil. </w:t>
            </w:r>
            <w:r w:rsidR="00E06B4A">
              <w:t>eur</w:t>
            </w:r>
            <w:r w:rsidRPr="00DD40FC">
              <w:t xml:space="preserve">, dok </w:t>
            </w:r>
            <w:r w:rsidR="00E06B4A">
              <w:t>112.735 eur</w:t>
            </w:r>
            <w:r w:rsidRPr="00DD40FC">
              <w:t xml:space="preserve"> otpada na prihode za nabavu nefinancijske imovine. Iznos prihoda za nabavu nefinancijske imovine za </w:t>
            </w:r>
            <w:r w:rsidR="00E06B4A">
              <w:t>18</w:t>
            </w:r>
            <w:r w:rsidRPr="00DD40FC">
              <w:t>% je povećan u usporedbi sa 202</w:t>
            </w:r>
            <w:r w:rsidR="00E06B4A">
              <w:t>2.</w:t>
            </w:r>
            <w:r w:rsidRPr="00DD40FC">
              <w:t xml:space="preserve"> godinom, </w:t>
            </w:r>
            <w:r w:rsidRPr="00DD40FC">
              <w:lastRenderedPageBreak/>
              <w:t xml:space="preserve">budući da je došlo do povećanih izdataka </w:t>
            </w:r>
            <w:r w:rsidR="00AB098B">
              <w:t>za komunikacijsku</w:t>
            </w:r>
            <w:r w:rsidRPr="00DD40FC">
              <w:t xml:space="preserve"> i osobito za nabavku računalne opreme. Prihodima iz proračuna najvećim dijelom financirani su rashodi za sufinanciranje EU projekata </w:t>
            </w:r>
            <w:r w:rsidR="00D422B9">
              <w:t>4</w:t>
            </w:r>
            <w:r w:rsidR="00896F68">
              <w:t xml:space="preserve">6 </w:t>
            </w:r>
            <w:r w:rsidRPr="00DD40FC">
              <w:t xml:space="preserve">mil. </w:t>
            </w:r>
            <w:r w:rsidR="00E06B4A">
              <w:t>eur.</w:t>
            </w:r>
          </w:p>
        </w:tc>
      </w:tr>
    </w:tbl>
    <w:p w14:paraId="129F958D" w14:textId="600A3E98" w:rsidR="00C32D14" w:rsidRDefault="00C32D14" w:rsidP="00827513"/>
    <w:p w14:paraId="04102D48" w14:textId="77777777" w:rsidR="00991164" w:rsidRDefault="00991164" w:rsidP="00827513"/>
    <w:p w14:paraId="3A1EFABE" w14:textId="7A0AE144" w:rsidR="00C32D14" w:rsidRPr="00C32D14" w:rsidRDefault="00C32D14" w:rsidP="00C32D14">
      <w:r w:rsidRPr="00667B83">
        <w:rPr>
          <w:b/>
        </w:rPr>
        <w:t>Rashodi poslovanja</w:t>
      </w:r>
    </w:p>
    <w:p w14:paraId="51862217" w14:textId="77777777" w:rsidR="00C32D14" w:rsidRDefault="00C32D14" w:rsidP="00C32D14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DD40FC" w:rsidRPr="00DD40FC" w14:paraId="6E6725C4" w14:textId="77777777" w:rsidTr="00C32FF7">
        <w:tc>
          <w:tcPr>
            <w:tcW w:w="1413" w:type="dxa"/>
          </w:tcPr>
          <w:p w14:paraId="7A385F5E" w14:textId="77777777" w:rsidR="00DD40FC" w:rsidRPr="00DD40FC" w:rsidRDefault="00DD40FC" w:rsidP="00047832">
            <w:pPr>
              <w:rPr>
                <w:b/>
              </w:rPr>
            </w:pPr>
            <w:r w:rsidRPr="00DD40FC">
              <w:rPr>
                <w:bCs/>
              </w:rPr>
              <w:t>Šifra 3</w:t>
            </w:r>
          </w:p>
        </w:tc>
        <w:tc>
          <w:tcPr>
            <w:tcW w:w="7649" w:type="dxa"/>
          </w:tcPr>
          <w:p w14:paraId="5FAF9800" w14:textId="009F37C0" w:rsidR="00DD40FC" w:rsidRPr="00DD40FC" w:rsidRDefault="00DD40FC" w:rsidP="00DD40FC">
            <w:pPr>
              <w:jc w:val="both"/>
            </w:pPr>
            <w:r w:rsidRPr="00DD40FC">
              <w:t xml:space="preserve">Ukupni rashodi poslovanja u izvještajnom razdoblju ostvareni su u iznosu od </w:t>
            </w:r>
            <w:r w:rsidR="00E84518">
              <w:t>285,3 mil. eur</w:t>
            </w:r>
            <w:r w:rsidRPr="00DD40FC">
              <w:t xml:space="preserve">, što predstavlja </w:t>
            </w:r>
            <w:r w:rsidR="00E84518">
              <w:t>povećanje</w:t>
            </w:r>
            <w:r w:rsidRPr="00DD40FC">
              <w:t xml:space="preserve"> za </w:t>
            </w:r>
            <w:r w:rsidR="00E84518">
              <w:t>36</w:t>
            </w:r>
            <w:r w:rsidRPr="00DD40FC">
              <w:t>% u odnosu na visinu rashoda iz 202</w:t>
            </w:r>
            <w:r w:rsidR="00E84518">
              <w:t>2</w:t>
            </w:r>
            <w:r w:rsidRPr="00DD40FC">
              <w:t xml:space="preserve">. godine. Razlog </w:t>
            </w:r>
            <w:r w:rsidR="00E84518">
              <w:t>povećanja</w:t>
            </w:r>
            <w:r w:rsidRPr="00DD40FC">
              <w:t xml:space="preserve">  rashoda krije se u činjenici što je došlo do </w:t>
            </w:r>
            <w:r w:rsidR="00E84518">
              <w:t>povećanja</w:t>
            </w:r>
            <w:r w:rsidRPr="00DD40FC">
              <w:t xml:space="preserve"> kapitalnih pomoći</w:t>
            </w:r>
            <w:r w:rsidR="00E84518">
              <w:t xml:space="preserve"> unutar proračuna i temeljem prijenosa EU sredstava</w:t>
            </w:r>
            <w:r w:rsidRPr="00DD40FC">
              <w:t xml:space="preserve">, </w:t>
            </w:r>
            <w:r w:rsidR="00E84518">
              <w:t>subvencija, kao i kapitalnih donacija.</w:t>
            </w:r>
          </w:p>
        </w:tc>
      </w:tr>
    </w:tbl>
    <w:p w14:paraId="65C93F30" w14:textId="5D6AB88E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DD40FC" w:rsidRPr="00DD40FC" w14:paraId="3F35A86F" w14:textId="77777777" w:rsidTr="00C32FF7">
        <w:tc>
          <w:tcPr>
            <w:tcW w:w="1413" w:type="dxa"/>
          </w:tcPr>
          <w:p w14:paraId="2CB6E608" w14:textId="77777777" w:rsidR="00DD40FC" w:rsidRPr="00DD40FC" w:rsidRDefault="00DD40FC" w:rsidP="002014D7">
            <w:r w:rsidRPr="00DD40FC">
              <w:t xml:space="preserve">Šifra 31 </w:t>
            </w:r>
          </w:p>
        </w:tc>
        <w:tc>
          <w:tcPr>
            <w:tcW w:w="7649" w:type="dxa"/>
          </w:tcPr>
          <w:p w14:paraId="057BE3CD" w14:textId="1A5ECC85" w:rsidR="00DD40FC" w:rsidRDefault="00DD40FC" w:rsidP="00DD40FC">
            <w:pPr>
              <w:jc w:val="both"/>
            </w:pPr>
            <w:r w:rsidRPr="00DD40FC">
              <w:t xml:space="preserve">Rashodi za zaposlene ostvareni su u iznosu od </w:t>
            </w:r>
            <w:r w:rsidR="00E84518">
              <w:t>14,2</w:t>
            </w:r>
            <w:r w:rsidRPr="00DD40FC">
              <w:t xml:space="preserve"> mil. </w:t>
            </w:r>
            <w:r w:rsidR="00E84518">
              <w:t>eur,</w:t>
            </w:r>
            <w:r w:rsidRPr="00DD40FC">
              <w:t xml:space="preserve"> što je povećanje od </w:t>
            </w:r>
            <w:r w:rsidR="00E84518">
              <w:t>15</w:t>
            </w:r>
            <w:r w:rsidRPr="00DD40FC">
              <w:t>% u odnosu na 202</w:t>
            </w:r>
            <w:r w:rsidR="00E84518">
              <w:t>2</w:t>
            </w:r>
            <w:r w:rsidRPr="00DD40FC">
              <w:t xml:space="preserve">. godinu. Razlog povećanja rashoda je povećanje osnovice za </w:t>
            </w:r>
            <w:r w:rsidR="00E84518">
              <w:t>2</w:t>
            </w:r>
            <w:r w:rsidRPr="00DD40FC">
              <w:t>%</w:t>
            </w:r>
            <w:r w:rsidR="00E84518">
              <w:t>, dodataka za najniža primanja,</w:t>
            </w:r>
            <w:r w:rsidRPr="00DD40FC">
              <w:t xml:space="preserve"> te 0,5% za navršene godine staža, te prekovremenih sati i pasivnog dežurstva, kao i povećanje samog broja službenika. Rashodi za zaposlene predstavljaju 5% ukupnih rashoda i to kao: </w:t>
            </w:r>
          </w:p>
          <w:p w14:paraId="34C61E84" w14:textId="77777777" w:rsidR="0027244C" w:rsidRDefault="0027244C" w:rsidP="00DD40FC">
            <w:pPr>
              <w:jc w:val="both"/>
            </w:pPr>
          </w:p>
          <w:p w14:paraId="1A80BF89" w14:textId="6F60D885" w:rsidR="00DD40FC" w:rsidRDefault="00DD40FC" w:rsidP="00DD40FC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DD40FC">
              <w:t xml:space="preserve">plaće za redovan rad u iznosu od </w:t>
            </w:r>
            <w:r w:rsidR="00227737">
              <w:t>11,9</w:t>
            </w:r>
            <w:r w:rsidRPr="00DD40FC">
              <w:t xml:space="preserve"> mil.</w:t>
            </w:r>
            <w:r w:rsidR="00227737">
              <w:t xml:space="preserve"> eur </w:t>
            </w:r>
            <w:r w:rsidRPr="00DD40FC">
              <w:t xml:space="preserve"> (Šifra 3111),</w:t>
            </w:r>
          </w:p>
          <w:p w14:paraId="7FA38516" w14:textId="2B1561F6" w:rsidR="00DD40FC" w:rsidRPr="00DD40FC" w:rsidRDefault="00DD40FC" w:rsidP="00DD40FC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DD40FC">
              <w:t xml:space="preserve">ostale rashode za zaposlene u iznosu od </w:t>
            </w:r>
            <w:r w:rsidR="00227737">
              <w:t>423</w:t>
            </w:r>
            <w:r w:rsidRPr="00DD40FC">
              <w:t xml:space="preserve"> </w:t>
            </w:r>
            <w:r w:rsidR="00227737">
              <w:t>tis. eur</w:t>
            </w:r>
            <w:r>
              <w:t xml:space="preserve">: </w:t>
            </w:r>
            <w:r w:rsidRPr="00DD40FC">
              <w:t>dar djeci do 15 godina, jubilarne nagrade, regres, božićnica, otpremnine</w:t>
            </w:r>
            <w:r>
              <w:t>,</w:t>
            </w:r>
            <w:r w:rsidRPr="00DD40FC">
              <w:t xml:space="preserve"> doprinosi na plaće u iznosu od 1</w:t>
            </w:r>
            <w:r w:rsidR="00227737">
              <w:t>,9</w:t>
            </w:r>
            <w:r w:rsidRPr="00DD40FC">
              <w:t xml:space="preserve"> mil. </w:t>
            </w:r>
            <w:r w:rsidR="00227737">
              <w:t>eur</w:t>
            </w:r>
            <w:r w:rsidRPr="00DD40FC">
              <w:t xml:space="preserve"> (Šifra 3132).  </w:t>
            </w:r>
          </w:p>
        </w:tc>
      </w:tr>
    </w:tbl>
    <w:p w14:paraId="2BD0ED0B" w14:textId="77777777" w:rsidR="00DD40FC" w:rsidRDefault="00DD40FC" w:rsidP="00C32D14"/>
    <w:p w14:paraId="1696F825" w14:textId="726F3B08" w:rsidR="00C32D14" w:rsidRDefault="00C32D14" w:rsidP="00621F76">
      <w:pPr>
        <w:ind w:left="1416"/>
        <w:jc w:val="both"/>
      </w:pPr>
      <w:r>
        <w:t xml:space="preserve">Prosječan broj zaposlenih na osnovi stanja krajem mjeseca iznosi </w:t>
      </w:r>
      <w:r w:rsidR="00227737">
        <w:t xml:space="preserve">500 </w:t>
      </w:r>
      <w:r>
        <w:t>službenika, dok je na bazi sati rada 4</w:t>
      </w:r>
      <w:r w:rsidR="00227737">
        <w:t>58</w:t>
      </w:r>
      <w:r>
        <w:t xml:space="preserve"> . Evidentan je trend laganog povećanja</w:t>
      </w:r>
      <w:r w:rsidR="00827513">
        <w:t xml:space="preserve"> </w:t>
      </w:r>
      <w:r>
        <w:t>broja službenika  (2,</w:t>
      </w:r>
      <w:r w:rsidR="00227737">
        <w:t>5</w:t>
      </w:r>
      <w:r>
        <w:t>%), prelaskom iz drugih institucija javnog sektora.</w:t>
      </w:r>
    </w:p>
    <w:p w14:paraId="38BA6ED2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DD40FC" w:rsidRPr="00DD40FC" w14:paraId="747A3C53" w14:textId="77777777" w:rsidTr="00C32FF7">
        <w:tc>
          <w:tcPr>
            <w:tcW w:w="1413" w:type="dxa"/>
          </w:tcPr>
          <w:p w14:paraId="7F9EB5BA" w14:textId="77777777" w:rsidR="00DD40FC" w:rsidRPr="00DD40FC" w:rsidRDefault="00DD40FC" w:rsidP="00025577">
            <w:r w:rsidRPr="00DD40FC">
              <w:t>Šifra 32</w:t>
            </w:r>
          </w:p>
        </w:tc>
        <w:tc>
          <w:tcPr>
            <w:tcW w:w="7649" w:type="dxa"/>
          </w:tcPr>
          <w:p w14:paraId="06AEA19A" w14:textId="66670F5F" w:rsidR="00DD40FC" w:rsidRPr="00DD40FC" w:rsidRDefault="00DD40FC" w:rsidP="00DD40FC">
            <w:pPr>
              <w:jc w:val="both"/>
            </w:pPr>
            <w:r w:rsidRPr="00DD40FC">
              <w:t xml:space="preserve">Materijalni rashodi ostvareni su u iznosu od </w:t>
            </w:r>
            <w:r w:rsidR="00012D68">
              <w:t>6,1</w:t>
            </w:r>
            <w:r w:rsidRPr="00DD40FC">
              <w:t xml:space="preserve"> mil</w:t>
            </w:r>
            <w:r w:rsidR="0001041E">
              <w:t>.</w:t>
            </w:r>
            <w:r w:rsidRPr="00DD40FC">
              <w:t xml:space="preserve"> </w:t>
            </w:r>
            <w:r w:rsidR="00012D68">
              <w:t>eur</w:t>
            </w:r>
            <w:r w:rsidRPr="00DD40FC">
              <w:t>, te su za  1</w:t>
            </w:r>
            <w:r w:rsidR="00012D68">
              <w:t>5</w:t>
            </w:r>
            <w:r w:rsidRPr="00DD40FC">
              <w:t>% smanjeni u usporedbi s ostvarenjem za 202</w:t>
            </w:r>
            <w:r w:rsidR="00012D68">
              <w:t>2</w:t>
            </w:r>
            <w:r w:rsidRPr="00DD40FC">
              <w:t xml:space="preserve"> godinu. Uštede su ostvarene u iznosu od 1</w:t>
            </w:r>
            <w:r w:rsidR="00012D68">
              <w:t>,1</w:t>
            </w:r>
            <w:r w:rsidRPr="00DD40FC">
              <w:t xml:space="preserve"> mil</w:t>
            </w:r>
            <w:r w:rsidR="0001041E">
              <w:t>.</w:t>
            </w:r>
            <w:r w:rsidRPr="00DD40FC">
              <w:t xml:space="preserve"> </w:t>
            </w:r>
            <w:r w:rsidR="00012D68">
              <w:t>eur</w:t>
            </w:r>
            <w:r w:rsidRPr="00DD40FC">
              <w:t xml:space="preserve"> u odnosu na  202</w:t>
            </w:r>
            <w:r w:rsidR="00012D68">
              <w:t>2</w:t>
            </w:r>
            <w:r w:rsidRPr="00DD40FC">
              <w:t>. godinu, prvenstveno na intelektualnim uslugama</w:t>
            </w:r>
            <w:r w:rsidR="00012D68">
              <w:t xml:space="preserve"> i uslugama promidžbe i informiranja.</w:t>
            </w:r>
          </w:p>
        </w:tc>
      </w:tr>
    </w:tbl>
    <w:p w14:paraId="51B7F237" w14:textId="77777777" w:rsidR="00991164" w:rsidRDefault="00991164" w:rsidP="00C32D14"/>
    <w:tbl>
      <w:tblPr>
        <w:tblStyle w:val="TableGrid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</w:tblGrid>
      <w:tr w:rsidR="0093258F" w:rsidRPr="0093258F" w14:paraId="28869E2B" w14:textId="77777777" w:rsidTr="0093258F">
        <w:tc>
          <w:tcPr>
            <w:tcW w:w="7649" w:type="dxa"/>
          </w:tcPr>
          <w:p w14:paraId="332EE151" w14:textId="6D07D7A6" w:rsidR="0093258F" w:rsidRPr="0093258F" w:rsidRDefault="0093258F" w:rsidP="00750FAB">
            <w:pPr>
              <w:jc w:val="both"/>
            </w:pPr>
            <w:r w:rsidRPr="0093258F">
              <w:t xml:space="preserve">Materijalni rashodi sudjeluju sa </w:t>
            </w:r>
            <w:r w:rsidR="00012D68">
              <w:t>2,1</w:t>
            </w:r>
            <w:r w:rsidRPr="0093258F">
              <w:t>% u ukupnim rashodima ministarstva.</w:t>
            </w:r>
          </w:p>
        </w:tc>
      </w:tr>
      <w:tr w:rsidR="0093258F" w:rsidRPr="0093258F" w14:paraId="62B7E344" w14:textId="77777777" w:rsidTr="0093258F">
        <w:tc>
          <w:tcPr>
            <w:tcW w:w="7649" w:type="dxa"/>
          </w:tcPr>
          <w:p w14:paraId="4F6EA4DF" w14:textId="73A6273C" w:rsidR="0093258F" w:rsidRPr="0093258F" w:rsidRDefault="0093258F" w:rsidP="00750FAB">
            <w:pPr>
              <w:jc w:val="both"/>
            </w:pPr>
            <w:r w:rsidRPr="0093258F">
              <w:t xml:space="preserve">Troškovi zaposlenih i materijalni rashodi čine </w:t>
            </w:r>
            <w:r w:rsidR="00012D68">
              <w:t>7</w:t>
            </w:r>
            <w:r w:rsidRPr="0093258F">
              <w:t xml:space="preserve">% ukupnih rashoda, što je pozitivan pokazatelj s gledišta učinkovitosti administrativnog osoblja, te je ispod standardiziranog za tehničku pomoć od 10%.Na naknade troškova zaposlenima otpada  iznos od </w:t>
            </w:r>
            <w:r w:rsidR="00F507AF">
              <w:t>989 tis. eur.</w:t>
            </w:r>
            <w:r w:rsidRPr="0093258F">
              <w:t xml:space="preserve"> (glavnina se odnosi na službena putovanja tehnička pomoć, IPA prekogranični projekti; naknade za prijevoz i rad na terenu, stručno usavršavanje ). Rashodi su povećani  za </w:t>
            </w:r>
            <w:r w:rsidR="00F507AF">
              <w:t>2</w:t>
            </w:r>
            <w:r w:rsidRPr="0093258F">
              <w:t>7% u odnosu na 202</w:t>
            </w:r>
            <w:r w:rsidR="00F507AF">
              <w:t>2</w:t>
            </w:r>
            <w:r w:rsidRPr="0093258F">
              <w:t>. godinu, osobito službena putovanja, uslijed prestanka pandemije</w:t>
            </w:r>
            <w:r w:rsidR="002D0EAC">
              <w:t>.</w:t>
            </w:r>
          </w:p>
        </w:tc>
      </w:tr>
      <w:tr w:rsidR="0093258F" w:rsidRPr="0093258F" w14:paraId="002840D8" w14:textId="77777777" w:rsidTr="0093258F">
        <w:tc>
          <w:tcPr>
            <w:tcW w:w="7649" w:type="dxa"/>
          </w:tcPr>
          <w:p w14:paraId="439682E4" w14:textId="39A212FA" w:rsidR="0093258F" w:rsidRPr="0093258F" w:rsidRDefault="0093258F" w:rsidP="00750FAB">
            <w:pPr>
              <w:jc w:val="both"/>
            </w:pPr>
            <w:r w:rsidRPr="0093258F">
              <w:t xml:space="preserve">Rashodi za materijal i energiju iznose </w:t>
            </w:r>
            <w:r w:rsidR="00F507AF">
              <w:t>433 tis. eur</w:t>
            </w:r>
            <w:r w:rsidRPr="0093258F">
              <w:t xml:space="preserve">, ostvarenje je za </w:t>
            </w:r>
            <w:r w:rsidR="00F507AF">
              <w:t>1</w:t>
            </w:r>
            <w:r w:rsidRPr="0093258F">
              <w:t>% veće u odnosu na visinu  iznosa za 202</w:t>
            </w:r>
            <w:r w:rsidR="00F507AF">
              <w:t>2</w:t>
            </w:r>
            <w:r w:rsidRPr="0093258F">
              <w:t>. godinu, kao posljedica rasta cijena.</w:t>
            </w:r>
          </w:p>
        </w:tc>
      </w:tr>
      <w:tr w:rsidR="0093258F" w:rsidRPr="0093258F" w14:paraId="4240FEF7" w14:textId="77777777" w:rsidTr="0093258F">
        <w:tc>
          <w:tcPr>
            <w:tcW w:w="7649" w:type="dxa"/>
          </w:tcPr>
          <w:p w14:paraId="234C540B" w14:textId="77777777" w:rsidR="0093258F" w:rsidRPr="0093258F" w:rsidRDefault="0093258F" w:rsidP="00750FAB">
            <w:pPr>
              <w:jc w:val="both"/>
            </w:pPr>
            <w:r w:rsidRPr="0093258F">
              <w:t xml:space="preserve">Najznačajniji dio otpada na energiju, zatim uredski materijal i ostale materijalne troškove. </w:t>
            </w:r>
          </w:p>
        </w:tc>
      </w:tr>
      <w:tr w:rsidR="0093258F" w:rsidRPr="0093258F" w14:paraId="67A6922C" w14:textId="77777777" w:rsidTr="0093258F">
        <w:tc>
          <w:tcPr>
            <w:tcW w:w="7649" w:type="dxa"/>
          </w:tcPr>
          <w:p w14:paraId="52823135" w14:textId="351D1C48" w:rsidR="0093258F" w:rsidRPr="0093258F" w:rsidRDefault="0093258F" w:rsidP="00750FAB">
            <w:pPr>
              <w:jc w:val="both"/>
            </w:pPr>
            <w:r w:rsidRPr="0093258F">
              <w:t>Rashodi za usluge iznose 4,4</w:t>
            </w:r>
            <w:r w:rsidR="00F507AF">
              <w:t xml:space="preserve"> </w:t>
            </w:r>
            <w:r w:rsidRPr="0093258F">
              <w:t xml:space="preserve">mil. </w:t>
            </w:r>
            <w:r w:rsidR="00F507AF">
              <w:t>eur</w:t>
            </w:r>
            <w:r w:rsidRPr="0093258F">
              <w:t xml:space="preserve"> , te su za 2</w:t>
            </w:r>
            <w:r w:rsidR="00F507AF">
              <w:t>0</w:t>
            </w:r>
            <w:r w:rsidRPr="0093258F">
              <w:t xml:space="preserve">% manji  u odnosu na </w:t>
            </w:r>
            <w:r w:rsidR="009E2FEB">
              <w:t xml:space="preserve">iznos </w:t>
            </w:r>
            <w:r w:rsidRPr="0093258F">
              <w:t>iz 202</w:t>
            </w:r>
            <w:r w:rsidR="00F507AF">
              <w:t>2</w:t>
            </w:r>
            <w:r w:rsidRPr="0093258F">
              <w:t xml:space="preserve">. godine. Najveći iznosi odnose se na intelektualne  usluge 1 mil </w:t>
            </w:r>
            <w:r w:rsidR="00F507AF">
              <w:t>eur,</w:t>
            </w:r>
            <w:r w:rsidRPr="0093258F">
              <w:t xml:space="preserve"> te su smanjene za </w:t>
            </w:r>
            <w:r w:rsidR="00F507AF">
              <w:t>50</w:t>
            </w:r>
            <w:r w:rsidRPr="0093258F">
              <w:t>%</w:t>
            </w:r>
            <w:r w:rsidR="00F507AF">
              <w:t xml:space="preserve"> u odnosu na prošlu godinu</w:t>
            </w:r>
            <w:r w:rsidR="00402153">
              <w:t>.</w:t>
            </w:r>
          </w:p>
        </w:tc>
      </w:tr>
      <w:tr w:rsidR="0093258F" w:rsidRPr="0093258F" w14:paraId="2019025C" w14:textId="77777777" w:rsidTr="0093258F">
        <w:tc>
          <w:tcPr>
            <w:tcW w:w="7649" w:type="dxa"/>
          </w:tcPr>
          <w:p w14:paraId="7C428C9B" w14:textId="2D6012B7" w:rsidR="0093258F" w:rsidRPr="0093258F" w:rsidRDefault="0093258F" w:rsidP="00750FAB">
            <w:pPr>
              <w:jc w:val="both"/>
            </w:pPr>
            <w:r w:rsidRPr="0093258F">
              <w:lastRenderedPageBreak/>
              <w:t xml:space="preserve">Komunalne usluge iznose </w:t>
            </w:r>
            <w:r w:rsidR="002A6CD2">
              <w:t>40</w:t>
            </w:r>
            <w:r w:rsidRPr="0093258F">
              <w:t xml:space="preserve"> </w:t>
            </w:r>
            <w:r w:rsidR="002A6CD2">
              <w:t>tis. eur</w:t>
            </w:r>
            <w:r w:rsidRPr="0093258F">
              <w:t xml:space="preserve"> i  za </w:t>
            </w:r>
            <w:r w:rsidR="002A6CD2">
              <w:t>70</w:t>
            </w:r>
            <w:r w:rsidRPr="0093258F">
              <w:t>% su manje od nivoa iz 202</w:t>
            </w:r>
            <w:r w:rsidR="002A6CD2">
              <w:t>2</w:t>
            </w:r>
            <w:r w:rsidRPr="0093258F">
              <w:t>. godine, budući da je došlo do direktnog fakturiranja na ministarstvo, umjesto preko zakupodavca za poslovni prostor.</w:t>
            </w:r>
          </w:p>
        </w:tc>
      </w:tr>
      <w:tr w:rsidR="0093258F" w:rsidRPr="0093258F" w14:paraId="09EB6BE3" w14:textId="77777777" w:rsidTr="0093258F">
        <w:tc>
          <w:tcPr>
            <w:tcW w:w="7649" w:type="dxa"/>
          </w:tcPr>
          <w:p w14:paraId="7A7C3432" w14:textId="495FB721" w:rsidR="0093258F" w:rsidRPr="0093258F" w:rsidRDefault="0093258F" w:rsidP="00750FAB">
            <w:pPr>
              <w:jc w:val="both"/>
            </w:pPr>
            <w:r w:rsidRPr="0093258F">
              <w:t>Zakupnine i  najamnine od 1</w:t>
            </w:r>
            <w:r w:rsidR="002A6CD2">
              <w:t>,8</w:t>
            </w:r>
            <w:r w:rsidRPr="0093258F">
              <w:t xml:space="preserve"> mil. </w:t>
            </w:r>
            <w:r w:rsidR="002A6CD2">
              <w:t xml:space="preserve">eur </w:t>
            </w:r>
            <w:r w:rsidRPr="0093258F">
              <w:t xml:space="preserve">za </w:t>
            </w:r>
            <w:r w:rsidR="002A6CD2">
              <w:t>12</w:t>
            </w:r>
            <w:r w:rsidRPr="0093258F">
              <w:t>% povećane u odnosu na 202</w:t>
            </w:r>
            <w:r w:rsidR="002A6CD2">
              <w:t>2</w:t>
            </w:r>
            <w:r w:rsidRPr="0093258F">
              <w:t xml:space="preserve">. godinu, </w:t>
            </w:r>
            <w:r w:rsidR="00C77234">
              <w:t>razlog najam dodatnih automobila i najamnine novih dužnosnika.</w:t>
            </w:r>
          </w:p>
        </w:tc>
      </w:tr>
      <w:tr w:rsidR="0093258F" w:rsidRPr="0093258F" w14:paraId="565A7688" w14:textId="77777777" w:rsidTr="0093258F">
        <w:tc>
          <w:tcPr>
            <w:tcW w:w="7649" w:type="dxa"/>
          </w:tcPr>
          <w:p w14:paraId="2796918C" w14:textId="77777777" w:rsidR="0093258F" w:rsidRPr="0093258F" w:rsidRDefault="0093258F" w:rsidP="00750FAB">
            <w:pPr>
              <w:jc w:val="both"/>
            </w:pPr>
            <w:r w:rsidRPr="0093258F">
              <w:t>Usluge tekućeg i investicijskog  održavanja na nivou su ostvarenja za proteklu godinu.</w:t>
            </w:r>
          </w:p>
        </w:tc>
      </w:tr>
      <w:tr w:rsidR="0093258F" w:rsidRPr="0093258F" w14:paraId="0936E7B6" w14:textId="77777777" w:rsidTr="0093258F">
        <w:tc>
          <w:tcPr>
            <w:tcW w:w="7649" w:type="dxa"/>
          </w:tcPr>
          <w:p w14:paraId="678234F7" w14:textId="7317DAA2" w:rsidR="0093258F" w:rsidRPr="0093258F" w:rsidRDefault="0093258F" w:rsidP="00750FAB">
            <w:pPr>
              <w:jc w:val="both"/>
            </w:pPr>
            <w:r w:rsidRPr="0093258F">
              <w:t xml:space="preserve">Rashodi za usluge promidžbe i informiranja </w:t>
            </w:r>
            <w:r w:rsidR="002A6CD2">
              <w:t>smanjene</w:t>
            </w:r>
            <w:r w:rsidRPr="0093258F">
              <w:t xml:space="preserve"> su za </w:t>
            </w:r>
            <w:r w:rsidR="002A6CD2">
              <w:t>4</w:t>
            </w:r>
            <w:r w:rsidRPr="0093258F">
              <w:t>9% u odnosu na 202</w:t>
            </w:r>
            <w:r w:rsidR="002A6CD2">
              <w:t>2</w:t>
            </w:r>
            <w:r w:rsidRPr="0093258F">
              <w:t>., zbog nove financijske perspektive 2021-2027. godine.</w:t>
            </w:r>
          </w:p>
        </w:tc>
      </w:tr>
      <w:tr w:rsidR="0093258F" w:rsidRPr="0093258F" w14:paraId="06A9DCDC" w14:textId="77777777" w:rsidTr="0093258F">
        <w:tc>
          <w:tcPr>
            <w:tcW w:w="7649" w:type="dxa"/>
          </w:tcPr>
          <w:p w14:paraId="1A63EDE3" w14:textId="6D390F0F" w:rsidR="0093258F" w:rsidRPr="0093258F" w:rsidRDefault="0093258F" w:rsidP="00750FAB">
            <w:pPr>
              <w:jc w:val="both"/>
            </w:pPr>
            <w:r w:rsidRPr="0093258F">
              <w:t xml:space="preserve">Rashodi za usluge telefona, pošte i prijevoza </w:t>
            </w:r>
            <w:r w:rsidR="002A6CD2">
              <w:t>povećani su za 10%</w:t>
            </w:r>
            <w:r w:rsidRPr="0093258F">
              <w:t xml:space="preserve"> u </w:t>
            </w:r>
            <w:r w:rsidR="002A6CD2">
              <w:t xml:space="preserve">odnosu na </w:t>
            </w:r>
            <w:r w:rsidRPr="0093258F">
              <w:t>ostvarenj</w:t>
            </w:r>
            <w:r w:rsidR="002A6CD2">
              <w:t>e</w:t>
            </w:r>
            <w:r w:rsidRPr="0093258F">
              <w:t xml:space="preserve"> za 202</w:t>
            </w:r>
            <w:r w:rsidR="002A6CD2">
              <w:t>2</w:t>
            </w:r>
            <w:r w:rsidRPr="0093258F">
              <w:t>. godin</w:t>
            </w:r>
            <w:r w:rsidR="002A6CD2">
              <w:t>u, uslijed većeg broja zaposlenih</w:t>
            </w:r>
            <w:r w:rsidR="002D4499">
              <w:t>.</w:t>
            </w:r>
          </w:p>
        </w:tc>
      </w:tr>
      <w:tr w:rsidR="0093258F" w:rsidRPr="0093258F" w14:paraId="06F64BB7" w14:textId="77777777" w:rsidTr="0093258F">
        <w:tc>
          <w:tcPr>
            <w:tcW w:w="7649" w:type="dxa"/>
          </w:tcPr>
          <w:p w14:paraId="3D8A8AA9" w14:textId="423C43AD" w:rsidR="0093258F" w:rsidRPr="0093258F" w:rsidRDefault="0093258F" w:rsidP="00750FAB">
            <w:pPr>
              <w:jc w:val="both"/>
            </w:pPr>
            <w:r w:rsidRPr="0093258F">
              <w:t xml:space="preserve">Računalne usluge  </w:t>
            </w:r>
            <w:r w:rsidR="002A6CD2">
              <w:t>povećane</w:t>
            </w:r>
            <w:r w:rsidRPr="0093258F">
              <w:t xml:space="preserve"> su za </w:t>
            </w:r>
            <w:r w:rsidR="002A6CD2">
              <w:t>95</w:t>
            </w:r>
            <w:r w:rsidRPr="0093258F">
              <w:t>% kao posljedica ugovora o održavanju računalnih aplikacija</w:t>
            </w:r>
            <w:r w:rsidR="002A6CD2">
              <w:t>, te dogradnje susatava EGOP.</w:t>
            </w:r>
          </w:p>
        </w:tc>
      </w:tr>
      <w:tr w:rsidR="0093258F" w:rsidRPr="0093258F" w14:paraId="308E9E20" w14:textId="77777777" w:rsidTr="0093258F">
        <w:tc>
          <w:tcPr>
            <w:tcW w:w="7649" w:type="dxa"/>
          </w:tcPr>
          <w:p w14:paraId="31C3688C" w14:textId="6FA475D6" w:rsidR="0093258F" w:rsidRPr="0093258F" w:rsidRDefault="0093258F" w:rsidP="00750FAB">
            <w:pPr>
              <w:jc w:val="both"/>
            </w:pPr>
            <w:r w:rsidRPr="0093258F">
              <w:t xml:space="preserve">Ostale usluge </w:t>
            </w:r>
            <w:r w:rsidR="002A6CD2">
              <w:t xml:space="preserve">povećane </w:t>
            </w:r>
            <w:r w:rsidRPr="0093258F">
              <w:t xml:space="preserve"> su za 2</w:t>
            </w:r>
            <w:r w:rsidR="002A6CD2">
              <w:t>5</w:t>
            </w:r>
            <w:r w:rsidRPr="0093258F">
              <w:t>% u odnosu na nivo rashoda iz 202</w:t>
            </w:r>
            <w:r w:rsidR="002A6CD2">
              <w:t>2</w:t>
            </w:r>
            <w:r w:rsidRPr="0093258F">
              <w:t>. godine.</w:t>
            </w:r>
          </w:p>
        </w:tc>
      </w:tr>
      <w:tr w:rsidR="0093258F" w:rsidRPr="0093258F" w14:paraId="57449857" w14:textId="77777777" w:rsidTr="0093258F">
        <w:tc>
          <w:tcPr>
            <w:tcW w:w="7649" w:type="dxa"/>
          </w:tcPr>
          <w:p w14:paraId="6A54EE3D" w14:textId="77252C5A" w:rsidR="0093258F" w:rsidRPr="0093258F" w:rsidRDefault="0093258F" w:rsidP="00750FAB">
            <w:pPr>
              <w:jc w:val="both"/>
            </w:pPr>
            <w:r w:rsidRPr="0093258F">
              <w:t xml:space="preserve">Ostali nespomenuti rashodi poslovanja </w:t>
            </w:r>
            <w:r w:rsidR="00C77234">
              <w:t>smanjeni</w:t>
            </w:r>
            <w:r w:rsidRPr="0093258F">
              <w:t xml:space="preserve"> su  za 5</w:t>
            </w:r>
            <w:r w:rsidR="00C77234">
              <w:t>0%</w:t>
            </w:r>
            <w:r w:rsidRPr="0093258F">
              <w:t>. Najviše za naknade troškova sudskih postupaka iz ranijih razdoblja</w:t>
            </w:r>
            <w:r w:rsidR="00C77234">
              <w:t>.</w:t>
            </w:r>
          </w:p>
        </w:tc>
      </w:tr>
    </w:tbl>
    <w:p w14:paraId="160973AB" w14:textId="481FB1B8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DD40FC" w:rsidRPr="00DD40FC" w14:paraId="6A815B54" w14:textId="77777777" w:rsidTr="00C32FF7">
        <w:tc>
          <w:tcPr>
            <w:tcW w:w="1413" w:type="dxa"/>
          </w:tcPr>
          <w:p w14:paraId="23637825" w14:textId="77777777" w:rsidR="00DD40FC" w:rsidRPr="00DD40FC" w:rsidRDefault="00DD40FC" w:rsidP="000F4076">
            <w:r w:rsidRPr="00DD40FC">
              <w:t>Šifra 34</w:t>
            </w:r>
          </w:p>
        </w:tc>
        <w:tc>
          <w:tcPr>
            <w:tcW w:w="7649" w:type="dxa"/>
          </w:tcPr>
          <w:p w14:paraId="3A04F03E" w14:textId="4B367A8D" w:rsidR="00DD40FC" w:rsidRPr="00DD40FC" w:rsidRDefault="00DD40FC" w:rsidP="00DD40FC">
            <w:pPr>
              <w:jc w:val="both"/>
            </w:pPr>
            <w:r w:rsidRPr="00DD40FC">
              <w:t>Financijski rashodi ostvareni su u iznos</w:t>
            </w:r>
            <w:r w:rsidR="0007647F">
              <w:t>u svega 1,1% prošlogodišnjih</w:t>
            </w:r>
            <w:r w:rsidRPr="00DD40FC">
              <w:t xml:space="preserve"> , a glavnina se odnosi </w:t>
            </w:r>
            <w:r w:rsidR="0007647F">
              <w:t>na b</w:t>
            </w:r>
            <w:r w:rsidRPr="00DD40FC">
              <w:t>ankarske usluge, točnije usluge HBOR-a  za poslove u ime i za račun ministarstva</w:t>
            </w:r>
            <w:r w:rsidR="0007647F">
              <w:t>, nije bilo značajnih plaćanja kamata po izgubljenim sporovima.</w:t>
            </w:r>
          </w:p>
        </w:tc>
      </w:tr>
    </w:tbl>
    <w:p w14:paraId="72DAA46A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DD40FC" w:rsidRPr="00DD40FC" w14:paraId="0CED0D60" w14:textId="77777777" w:rsidTr="00C32FF7">
        <w:tc>
          <w:tcPr>
            <w:tcW w:w="1413" w:type="dxa"/>
          </w:tcPr>
          <w:p w14:paraId="078B7545" w14:textId="77777777" w:rsidR="00DD40FC" w:rsidRPr="00DD40FC" w:rsidRDefault="00DD40FC" w:rsidP="00405224">
            <w:r w:rsidRPr="00DD40FC">
              <w:t>Šifra 35</w:t>
            </w:r>
          </w:p>
        </w:tc>
        <w:tc>
          <w:tcPr>
            <w:tcW w:w="7649" w:type="dxa"/>
          </w:tcPr>
          <w:p w14:paraId="0C1E9955" w14:textId="6AF0A497" w:rsidR="00DD40FC" w:rsidRPr="00DD40FC" w:rsidRDefault="00DD40FC" w:rsidP="00DD40FC">
            <w:pPr>
              <w:jc w:val="both"/>
            </w:pPr>
            <w:r w:rsidRPr="00DD40FC">
              <w:t xml:space="preserve">Subvencije od </w:t>
            </w:r>
            <w:r w:rsidR="002579B0">
              <w:t>49,8</w:t>
            </w:r>
            <w:r w:rsidRPr="00DD40FC">
              <w:t xml:space="preserve"> mil. </w:t>
            </w:r>
            <w:r w:rsidR="002579B0">
              <w:t>eur</w:t>
            </w:r>
            <w:r w:rsidRPr="00DD40FC">
              <w:t xml:space="preserve"> vezane su za subvencije trgovačkim društvima, poljoprivrednicima i obrtnicima u okviru aktivnosti: Poticanje otočnog gospodarstva, odnosno izvornih otočnih proizvoda, te subvencije iz EU sredstava. Iznosi subvencija povećan je za </w:t>
            </w:r>
            <w:r w:rsidR="002579B0">
              <w:t>1</w:t>
            </w:r>
            <w:r w:rsidRPr="00DD40FC">
              <w:t>6</w:t>
            </w:r>
            <w:r w:rsidR="002579B0">
              <w:t>7</w:t>
            </w:r>
            <w:r w:rsidRPr="00DD40FC">
              <w:t>% u odnosu na 202</w:t>
            </w:r>
            <w:r w:rsidR="002579B0">
              <w:t xml:space="preserve">2 </w:t>
            </w:r>
            <w:r w:rsidRPr="00DD40FC">
              <w:t>godinu.</w:t>
            </w:r>
          </w:p>
        </w:tc>
      </w:tr>
    </w:tbl>
    <w:p w14:paraId="78214A37" w14:textId="77777777" w:rsidR="00991164" w:rsidRDefault="0099116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DD40FC" w:rsidRPr="00DD40FC" w14:paraId="2FD88110" w14:textId="77777777" w:rsidTr="00C32FF7">
        <w:tc>
          <w:tcPr>
            <w:tcW w:w="1413" w:type="dxa"/>
          </w:tcPr>
          <w:p w14:paraId="5FB02B5C" w14:textId="77777777" w:rsidR="00DD40FC" w:rsidRPr="00DD40FC" w:rsidRDefault="00DD40FC" w:rsidP="00C52BF7">
            <w:r w:rsidRPr="00DD40FC">
              <w:t>Šifra 36</w:t>
            </w:r>
          </w:p>
        </w:tc>
        <w:tc>
          <w:tcPr>
            <w:tcW w:w="7649" w:type="dxa"/>
          </w:tcPr>
          <w:p w14:paraId="047C4E67" w14:textId="6D53738C" w:rsidR="00DD40FC" w:rsidRPr="00DD40FC" w:rsidRDefault="00DD40FC" w:rsidP="00DD40FC">
            <w:pPr>
              <w:jc w:val="both"/>
            </w:pPr>
            <w:r w:rsidRPr="00DD40FC">
              <w:t>Pomoći unutar opće države i u inozemstvo iznose 1</w:t>
            </w:r>
            <w:r w:rsidR="005448E5">
              <w:t>85,9 mil. eur</w:t>
            </w:r>
            <w:r w:rsidRPr="00DD40FC">
              <w:t>,</w:t>
            </w:r>
            <w:r w:rsidR="005448E5">
              <w:t xml:space="preserve">što </w:t>
            </w:r>
            <w:r w:rsidRPr="00DD40FC">
              <w:t xml:space="preserve"> predstavlja </w:t>
            </w:r>
            <w:r w:rsidR="005448E5">
              <w:t xml:space="preserve">povećanje </w:t>
            </w:r>
            <w:r w:rsidRPr="00DD40FC">
              <w:t xml:space="preserve"> od 2</w:t>
            </w:r>
            <w:r w:rsidR="005448E5">
              <w:t>2</w:t>
            </w:r>
            <w:r w:rsidRPr="00DD40FC">
              <w:t xml:space="preserve"> % u odnosu na  202</w:t>
            </w:r>
            <w:r w:rsidR="005448E5">
              <w:t>2</w:t>
            </w:r>
            <w:r w:rsidRPr="00DD40FC">
              <w:t xml:space="preserve">. kao posljedica dodjele sredstava jedinicama lokalne i područne samouprave iz proračunskih sredstava, odnosno temeljem prijenosa EU sredstava. </w:t>
            </w:r>
            <w:r w:rsidR="005448E5">
              <w:t>Povećanje</w:t>
            </w:r>
            <w:r w:rsidRPr="00DD40FC">
              <w:t xml:space="preserve"> je najvećim dijelom posljedica </w:t>
            </w:r>
            <w:r w:rsidR="005448E5">
              <w:t>većeg</w:t>
            </w:r>
            <w:r w:rsidRPr="00DD40FC">
              <w:t xml:space="preserve"> iznosa rashoda </w:t>
            </w:r>
            <w:r w:rsidR="00384093">
              <w:t xml:space="preserve">za razvojne </w:t>
            </w:r>
            <w:r w:rsidRPr="00DD40FC">
              <w:t xml:space="preserve"> projekat</w:t>
            </w:r>
            <w:r w:rsidR="00384093">
              <w:t>e</w:t>
            </w:r>
            <w:r w:rsidRPr="00DD40FC">
              <w:t xml:space="preserve"> iz nacionalnih sredstava</w:t>
            </w:r>
            <w:r w:rsidR="00384093">
              <w:t>, kao i pomoći temeljm prijenosa EU sredstava.</w:t>
            </w:r>
          </w:p>
        </w:tc>
      </w:tr>
    </w:tbl>
    <w:p w14:paraId="33CD47F2" w14:textId="77777777" w:rsidR="00991164" w:rsidRDefault="00991164" w:rsidP="00C32D14"/>
    <w:tbl>
      <w:tblPr>
        <w:tblStyle w:val="TableGrid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</w:tblGrid>
      <w:tr w:rsidR="0093258F" w:rsidRPr="0093258F" w14:paraId="00FA38FF" w14:textId="77777777" w:rsidTr="0093258F">
        <w:tc>
          <w:tcPr>
            <w:tcW w:w="7649" w:type="dxa"/>
          </w:tcPr>
          <w:p w14:paraId="36A2072E" w14:textId="1FE89B79" w:rsidR="0093258F" w:rsidRPr="0093258F" w:rsidRDefault="0093258F" w:rsidP="001F5A05">
            <w:pPr>
              <w:jc w:val="both"/>
            </w:pPr>
            <w:r w:rsidRPr="0093258F">
              <w:t xml:space="preserve">Udio ove vrste rashoda u ukupnim rashodima iznosi </w:t>
            </w:r>
            <w:r w:rsidR="00384093">
              <w:t>65</w:t>
            </w:r>
            <w:r w:rsidRPr="0093258F">
              <w:t xml:space="preserve">%, a odnose se na pomoći unutar općeg proračuna (kapitalne i tekuće) </w:t>
            </w:r>
            <w:r w:rsidR="00384093">
              <w:t>67</w:t>
            </w:r>
            <w:r w:rsidRPr="0093258F">
              <w:t xml:space="preserve"> mil </w:t>
            </w:r>
            <w:r w:rsidR="00384093">
              <w:t>.eur.</w:t>
            </w:r>
            <w:r w:rsidRPr="0093258F">
              <w:t xml:space="preserve"> </w:t>
            </w:r>
            <w:r w:rsidR="00384093">
              <w:t>Povećanje</w:t>
            </w:r>
            <w:r w:rsidRPr="0093258F">
              <w:t xml:space="preserve"> od </w:t>
            </w:r>
            <w:r w:rsidR="00384093">
              <w:t>40</w:t>
            </w:r>
            <w:r w:rsidRPr="0093258F">
              <w:t>% u odnosu na 202</w:t>
            </w:r>
            <w:r w:rsidR="00384093">
              <w:t>2</w:t>
            </w:r>
            <w:r w:rsidRPr="0093258F">
              <w:t xml:space="preserve">.,osobito kapitalnih pomoći (sufinanciranje EU projekata). Pomoći proračunskim korisnicima drugih proračuna 6 mil </w:t>
            </w:r>
            <w:r w:rsidR="00384093">
              <w:t>eur</w:t>
            </w:r>
            <w:r w:rsidRPr="0093258F">
              <w:t xml:space="preserve"> , </w:t>
            </w:r>
            <w:r w:rsidR="00384093">
              <w:t>povećanje</w:t>
            </w:r>
            <w:r w:rsidRPr="0093258F">
              <w:t xml:space="preserve"> je </w:t>
            </w:r>
            <w:r w:rsidR="00384093">
              <w:t>za</w:t>
            </w:r>
            <w:r w:rsidRPr="0093258F">
              <w:t xml:space="preserve"> </w:t>
            </w:r>
            <w:r w:rsidR="00384093">
              <w:t>27</w:t>
            </w:r>
            <w:r w:rsidRPr="0093258F">
              <w:t xml:space="preserve">% </w:t>
            </w:r>
            <w:r w:rsidR="00384093">
              <w:t xml:space="preserve"> u odnosu na </w:t>
            </w:r>
            <w:r w:rsidRPr="0093258F">
              <w:t xml:space="preserve"> iznos iz 202</w:t>
            </w:r>
            <w:r w:rsidR="00384093">
              <w:t>2.</w:t>
            </w:r>
            <w:r w:rsidRPr="0093258F">
              <w:t xml:space="preserve"> godine.</w:t>
            </w:r>
          </w:p>
        </w:tc>
      </w:tr>
      <w:tr w:rsidR="0093258F" w:rsidRPr="0093258F" w14:paraId="510EFBBF" w14:textId="77777777" w:rsidTr="0093258F">
        <w:tc>
          <w:tcPr>
            <w:tcW w:w="7649" w:type="dxa"/>
          </w:tcPr>
          <w:p w14:paraId="1A69347A" w14:textId="6B04311C" w:rsidR="0093258F" w:rsidRPr="0093258F" w:rsidRDefault="0093258F" w:rsidP="001F5A05">
            <w:pPr>
              <w:jc w:val="both"/>
            </w:pPr>
            <w:r w:rsidRPr="0093258F">
              <w:t xml:space="preserve">Pomoći temeljem prijenosa EU sredstava </w:t>
            </w:r>
            <w:r w:rsidR="00384093">
              <w:t xml:space="preserve">povećane </w:t>
            </w:r>
            <w:r w:rsidRPr="0093258F">
              <w:t xml:space="preserve">su za </w:t>
            </w:r>
            <w:r w:rsidR="00384093">
              <w:t>8</w:t>
            </w:r>
            <w:r w:rsidRPr="0093258F">
              <w:t>% u odnosu na 202</w:t>
            </w:r>
            <w:r w:rsidR="00384093">
              <w:t>2</w:t>
            </w:r>
            <w:r w:rsidRPr="0093258F">
              <w:t xml:space="preserve">., došlo je do realizacije programa ITU mali i veliki gradovi  u  okviru OPKK, te provedba  IPA INTTERREG programa. Čak </w:t>
            </w:r>
            <w:r w:rsidR="00384093">
              <w:t>80</w:t>
            </w:r>
            <w:r w:rsidRPr="0093258F">
              <w:t xml:space="preserve"> mil. </w:t>
            </w:r>
            <w:r w:rsidR="00384093">
              <w:t>eur</w:t>
            </w:r>
            <w:r w:rsidRPr="0093258F">
              <w:t xml:space="preserve"> odnosi se na kapitalne pomoći, dok </w:t>
            </w:r>
            <w:r w:rsidR="00384093">
              <w:t>19,8</w:t>
            </w:r>
            <w:r w:rsidRPr="0093258F">
              <w:t xml:space="preserve"> mil </w:t>
            </w:r>
            <w:r w:rsidR="00384093">
              <w:t>eur</w:t>
            </w:r>
            <w:r w:rsidRPr="0093258F">
              <w:t xml:space="preserve"> čine tekuće pomoći. Kapitalne pomoći unutar opće države predstavljanju pomoći općinama i gradovima kroz projekte i programe regionalnog razvoja.</w:t>
            </w:r>
          </w:p>
        </w:tc>
      </w:tr>
      <w:tr w:rsidR="0093258F" w:rsidRPr="0093258F" w14:paraId="19416574" w14:textId="77777777" w:rsidTr="0093258F">
        <w:tc>
          <w:tcPr>
            <w:tcW w:w="7649" w:type="dxa"/>
          </w:tcPr>
          <w:p w14:paraId="46DCA20B" w14:textId="77777777" w:rsidR="0093258F" w:rsidRPr="0093258F" w:rsidRDefault="0093258F" w:rsidP="001F5A05">
            <w:pPr>
              <w:jc w:val="both"/>
            </w:pPr>
            <w:r w:rsidRPr="0093258F">
              <w:t>Ovdje svakako treba spomenuti projekte na otocima, razvoj potpomognutih područja, regionalni razvojni projekti,  priprema i provedba EU projekata. Kroz spomenute projekte realizira se temeljna misija Ministarstva ravnomjerni regionalni razvoj, ove kategorije rashoda direktna su potpora gospodarskoj aktivnosti.</w:t>
            </w:r>
          </w:p>
        </w:tc>
      </w:tr>
    </w:tbl>
    <w:p w14:paraId="7565524E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32FF7" w:rsidRPr="00C32FF7" w14:paraId="5BFEFA64" w14:textId="77777777" w:rsidTr="00C32FF7">
        <w:tc>
          <w:tcPr>
            <w:tcW w:w="1413" w:type="dxa"/>
          </w:tcPr>
          <w:p w14:paraId="5E2316D5" w14:textId="77777777" w:rsidR="00C32FF7" w:rsidRPr="00C32FF7" w:rsidRDefault="00C32FF7" w:rsidP="00117975">
            <w:r w:rsidRPr="00C32FF7">
              <w:t xml:space="preserve">Šifra 37 </w:t>
            </w:r>
          </w:p>
        </w:tc>
        <w:tc>
          <w:tcPr>
            <w:tcW w:w="7649" w:type="dxa"/>
          </w:tcPr>
          <w:p w14:paraId="032FCE03" w14:textId="72D2F137" w:rsidR="00C32FF7" w:rsidRPr="00C32FF7" w:rsidRDefault="00C32FF7" w:rsidP="00C32FF7">
            <w:pPr>
              <w:jc w:val="both"/>
            </w:pPr>
            <w:r w:rsidRPr="00C32FF7">
              <w:t xml:space="preserve">Naknade građanima i kućanstvima čine 1% ukupnih rashoda i na nivou su planiranog iznosa. Ova vrsta rashoda odnosi se na rashode u naravi kroz naknade vodoopskrbe jadranskih otoka. Iznos rashoda smanjen je za </w:t>
            </w:r>
            <w:r w:rsidR="006822C4">
              <w:t>2</w:t>
            </w:r>
            <w:r w:rsidRPr="00C32FF7">
              <w:t>4%</w:t>
            </w:r>
            <w:r w:rsidR="0083725F">
              <w:t xml:space="preserve"> </w:t>
            </w:r>
            <w:r w:rsidRPr="00C32FF7">
              <w:t xml:space="preserve"> kao posljedica </w:t>
            </w:r>
            <w:r w:rsidR="006822C4">
              <w:t>relativno kišne godine.</w:t>
            </w:r>
          </w:p>
        </w:tc>
      </w:tr>
    </w:tbl>
    <w:p w14:paraId="6F0A4110" w14:textId="77777777" w:rsidR="00991164" w:rsidRDefault="0099116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32FF7" w:rsidRPr="00C32FF7" w14:paraId="0385C70A" w14:textId="77777777" w:rsidTr="00C32FF7">
        <w:tc>
          <w:tcPr>
            <w:tcW w:w="1413" w:type="dxa"/>
          </w:tcPr>
          <w:p w14:paraId="548C04F2" w14:textId="77777777" w:rsidR="00C32FF7" w:rsidRPr="00C32FF7" w:rsidRDefault="00C32FF7" w:rsidP="00C96740">
            <w:r w:rsidRPr="00C32FF7">
              <w:t>Šifra 38</w:t>
            </w:r>
          </w:p>
        </w:tc>
        <w:tc>
          <w:tcPr>
            <w:tcW w:w="7649" w:type="dxa"/>
          </w:tcPr>
          <w:p w14:paraId="1AA693EE" w14:textId="1D9F4A42" w:rsidR="00C32FF7" w:rsidRPr="00C32FF7" w:rsidRDefault="00C32FF7" w:rsidP="00C96740">
            <w:r w:rsidRPr="00C32FF7">
              <w:t xml:space="preserve">Ostali rashodi u spomenutom razdoblju iznose </w:t>
            </w:r>
            <w:r w:rsidR="006A72F1">
              <w:t xml:space="preserve">27,5 </w:t>
            </w:r>
            <w:r w:rsidR="0002002A">
              <w:t xml:space="preserve">mil. eur. </w:t>
            </w:r>
            <w:r w:rsidRPr="00C32FF7">
              <w:t xml:space="preserve">ili </w:t>
            </w:r>
            <w:r w:rsidR="006A72F1">
              <w:t>10</w:t>
            </w:r>
            <w:r w:rsidRPr="00C32FF7">
              <w:t>% ukupnih rashoda. Najznačajniji dio odnosi se na kapitalne donacije neprofitnim organizacijama, kapitalne pomoći kreditnim i ostalim financijskim institucijama, te trgovačkim društvima u javnom sektoru, kapitalne donacije iz EU sredstava i kapitalne pomoći iz EU sredstava.</w:t>
            </w:r>
          </w:p>
        </w:tc>
      </w:tr>
    </w:tbl>
    <w:p w14:paraId="178EF055" w14:textId="2E5E03A4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32FF7" w:rsidRPr="00C32FF7" w14:paraId="53B4825E" w14:textId="77777777" w:rsidTr="00C32FF7">
        <w:tc>
          <w:tcPr>
            <w:tcW w:w="1413" w:type="dxa"/>
          </w:tcPr>
          <w:p w14:paraId="0E76932A" w14:textId="77777777" w:rsidR="00C32FF7" w:rsidRPr="00C32FF7" w:rsidRDefault="00C32FF7" w:rsidP="00576B59">
            <w:r w:rsidRPr="00C32FF7">
              <w:t xml:space="preserve">Šifra Z005 </w:t>
            </w:r>
          </w:p>
        </w:tc>
        <w:tc>
          <w:tcPr>
            <w:tcW w:w="7649" w:type="dxa"/>
          </w:tcPr>
          <w:p w14:paraId="75F85A7E" w14:textId="60FD22C6" w:rsidR="00C32FF7" w:rsidRPr="00C32FF7" w:rsidRDefault="00C32FF7" w:rsidP="00576B59">
            <w:pPr>
              <w:rPr>
                <w:i/>
              </w:rPr>
            </w:pPr>
            <w:r w:rsidRPr="00C32FF7">
              <w:t xml:space="preserve">Ostvareni su ukupni rashodi poslovanja u obračunskom razdoblju u iznosu od </w:t>
            </w:r>
            <w:r w:rsidR="00C74C57">
              <w:t>285,3 mil. eur</w:t>
            </w:r>
            <w:r w:rsidRPr="00C32FF7">
              <w:t>. Gotovo 7</w:t>
            </w:r>
            <w:r w:rsidR="00C74C57">
              <w:t>6</w:t>
            </w:r>
            <w:r w:rsidRPr="00C32FF7">
              <w:t xml:space="preserve">% ukupnih rashoda poslovanja odnosi se na </w:t>
            </w:r>
            <w:r w:rsidRPr="00C32FF7">
              <w:rPr>
                <w:i/>
              </w:rPr>
              <w:t>kapitalne pomoći</w:t>
            </w:r>
            <w:r w:rsidRPr="00C32FF7">
              <w:t xml:space="preserve"> i na </w:t>
            </w:r>
            <w:r w:rsidRPr="00C32FF7">
              <w:rPr>
                <w:i/>
              </w:rPr>
              <w:t>kapitalne  donacije</w:t>
            </w:r>
            <w:r w:rsidRPr="00C32FF7">
              <w:t>, što naglašava razvojni karakter proračunskih rashoda.</w:t>
            </w:r>
          </w:p>
        </w:tc>
      </w:tr>
    </w:tbl>
    <w:p w14:paraId="09100B55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32FF7" w:rsidRPr="00C32FF7" w14:paraId="397E1918" w14:textId="77777777" w:rsidTr="00C32FF7">
        <w:tc>
          <w:tcPr>
            <w:tcW w:w="1413" w:type="dxa"/>
          </w:tcPr>
          <w:p w14:paraId="48CEE9B7" w14:textId="322E437A" w:rsidR="00C32FF7" w:rsidRPr="00C32FF7" w:rsidRDefault="00C32FF7" w:rsidP="005D4F6D">
            <w:r w:rsidRPr="00C32FF7">
              <w:t xml:space="preserve">Šifra </w:t>
            </w:r>
            <w:r w:rsidR="00C74C57">
              <w:t>Y</w:t>
            </w:r>
            <w:r w:rsidRPr="00C32FF7">
              <w:t xml:space="preserve">001 </w:t>
            </w:r>
          </w:p>
        </w:tc>
        <w:tc>
          <w:tcPr>
            <w:tcW w:w="7649" w:type="dxa"/>
          </w:tcPr>
          <w:p w14:paraId="44E8FEA7" w14:textId="0983DD5B" w:rsidR="00C32FF7" w:rsidRPr="00C32FF7" w:rsidRDefault="00C74C57" w:rsidP="00C32FF7">
            <w:pPr>
              <w:jc w:val="both"/>
            </w:pPr>
            <w:r>
              <w:t>Manjak</w:t>
            </w:r>
            <w:r w:rsidR="00C32FF7" w:rsidRPr="00C32FF7">
              <w:t xml:space="preserve"> prihoda poslovanja iznosi </w:t>
            </w:r>
            <w:r>
              <w:t>2,8</w:t>
            </w:r>
            <w:r w:rsidR="00C32FF7" w:rsidRPr="00C32FF7">
              <w:t xml:space="preserve"> mil. </w:t>
            </w:r>
            <w:r>
              <w:t>eur</w:t>
            </w:r>
            <w:r w:rsidR="00C32FF7" w:rsidRPr="00C32FF7">
              <w:t xml:space="preserve">, kao posljedica bržeg rasta  </w:t>
            </w:r>
            <w:r>
              <w:t>rashoda</w:t>
            </w:r>
            <w:r w:rsidR="00C32FF7" w:rsidRPr="00C32FF7">
              <w:t xml:space="preserve"> od rasta </w:t>
            </w:r>
            <w:r>
              <w:t>prihoda</w:t>
            </w:r>
            <w:r w:rsidR="00C32FF7" w:rsidRPr="00C32FF7">
              <w:t xml:space="preserve"> poslovanja.</w:t>
            </w:r>
          </w:p>
        </w:tc>
      </w:tr>
    </w:tbl>
    <w:p w14:paraId="44FA1A41" w14:textId="77777777" w:rsidR="00DD40FC" w:rsidRDefault="00DD40FC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32FF7" w:rsidRPr="00C32FF7" w14:paraId="4CBEBD5A" w14:textId="77777777" w:rsidTr="00C32FF7">
        <w:tc>
          <w:tcPr>
            <w:tcW w:w="1413" w:type="dxa"/>
          </w:tcPr>
          <w:p w14:paraId="448C0F18" w14:textId="77777777" w:rsidR="00C32FF7" w:rsidRPr="00C32FF7" w:rsidRDefault="00C32FF7" w:rsidP="00AF591C">
            <w:r w:rsidRPr="00C32FF7">
              <w:t xml:space="preserve">Šifra 96 </w:t>
            </w:r>
          </w:p>
        </w:tc>
        <w:tc>
          <w:tcPr>
            <w:tcW w:w="7649" w:type="dxa"/>
          </w:tcPr>
          <w:p w14:paraId="4C2BF0B9" w14:textId="13322953" w:rsidR="00C32FF7" w:rsidRPr="00C32FF7" w:rsidRDefault="00C32FF7" w:rsidP="00C32FF7">
            <w:pPr>
              <w:jc w:val="both"/>
            </w:pPr>
            <w:r w:rsidRPr="00C32FF7">
              <w:t xml:space="preserve">Obračunati nenaplaćeni prihodi poslovanja iznose </w:t>
            </w:r>
            <w:r w:rsidR="00C0720A">
              <w:t>3,7 mil. eur</w:t>
            </w:r>
            <w:r w:rsidRPr="00C32FF7">
              <w:t>, a odnose se na sredstva refundacije iz  EU  fondova (izvor 559</w:t>
            </w:r>
            <w:r w:rsidR="00C0720A">
              <w:t>,552</w:t>
            </w:r>
            <w:r w:rsidR="004A38C5">
              <w:t>),</w:t>
            </w:r>
            <w:r w:rsidR="00C0720A">
              <w:t xml:space="preserve"> IPA, izvor 31</w:t>
            </w:r>
            <w:r w:rsidRPr="00C32FF7">
              <w:t>.</w:t>
            </w:r>
          </w:p>
        </w:tc>
      </w:tr>
    </w:tbl>
    <w:p w14:paraId="6685BCB4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32FF7" w:rsidRPr="00C32FF7" w14:paraId="06B927F5" w14:textId="77777777" w:rsidTr="00C32FF7">
        <w:tc>
          <w:tcPr>
            <w:tcW w:w="1413" w:type="dxa"/>
          </w:tcPr>
          <w:p w14:paraId="3651B11E" w14:textId="77777777" w:rsidR="00C32FF7" w:rsidRPr="00C32FF7" w:rsidRDefault="00C32FF7" w:rsidP="00217264">
            <w:r w:rsidRPr="00C32FF7">
              <w:t xml:space="preserve">Šifra 9661 </w:t>
            </w:r>
          </w:p>
        </w:tc>
        <w:tc>
          <w:tcPr>
            <w:tcW w:w="7649" w:type="dxa"/>
          </w:tcPr>
          <w:p w14:paraId="77049AF2" w14:textId="716D98A9" w:rsidR="00C32FF7" w:rsidRPr="00C32FF7" w:rsidRDefault="00C32FF7" w:rsidP="00217264">
            <w:r w:rsidRPr="00C32FF7">
              <w:t xml:space="preserve">Obračunati prihodi od prodaje robe i usluga  iznose </w:t>
            </w:r>
            <w:r w:rsidR="001E241F">
              <w:t>7.314 eur.</w:t>
            </w:r>
          </w:p>
        </w:tc>
      </w:tr>
    </w:tbl>
    <w:p w14:paraId="65DBF05B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32FF7" w:rsidRPr="00C32FF7" w14:paraId="31126A62" w14:textId="77777777" w:rsidTr="00C32FF7">
        <w:tc>
          <w:tcPr>
            <w:tcW w:w="1413" w:type="dxa"/>
          </w:tcPr>
          <w:p w14:paraId="4F08B81A" w14:textId="77777777" w:rsidR="00C32FF7" w:rsidRPr="00C32FF7" w:rsidRDefault="00C32FF7" w:rsidP="000136F3">
            <w:r w:rsidRPr="00C32FF7">
              <w:t>Šifra 4</w:t>
            </w:r>
          </w:p>
        </w:tc>
        <w:tc>
          <w:tcPr>
            <w:tcW w:w="7649" w:type="dxa"/>
          </w:tcPr>
          <w:p w14:paraId="1C8B8FA5" w14:textId="605D5446" w:rsidR="00C32FF7" w:rsidRPr="00C32FF7" w:rsidRDefault="00C32FF7" w:rsidP="000136F3">
            <w:r w:rsidRPr="00C32FF7">
              <w:t xml:space="preserve">Rashodi za nabavu nefinancijske imovine iznose </w:t>
            </w:r>
            <w:r w:rsidR="00D422B9">
              <w:t>187 tis. eur</w:t>
            </w:r>
            <w:r w:rsidRPr="00C32FF7">
              <w:t xml:space="preserve">, te su povećani za </w:t>
            </w:r>
            <w:r w:rsidR="00D422B9">
              <w:t>13</w:t>
            </w:r>
            <w:r w:rsidRPr="00C32FF7">
              <w:t xml:space="preserve">%  u odnosu na prethodnu godinu. Najznačajniji dio ulaganja odnosi  se na uredsku opremu </w:t>
            </w:r>
            <w:r w:rsidR="00D422B9">
              <w:t>178 tis. eur ( nabavka prijenosnih računala za rad od kuće)</w:t>
            </w:r>
            <w:r w:rsidRPr="00C32FF7">
              <w:t xml:space="preserve">, zatim komunikacijsku opremu </w:t>
            </w:r>
            <w:r w:rsidR="00D422B9">
              <w:t>8 tis. eur</w:t>
            </w:r>
            <w:r w:rsidRPr="00C32FF7">
              <w:t xml:space="preserve">. </w:t>
            </w:r>
          </w:p>
        </w:tc>
      </w:tr>
    </w:tbl>
    <w:p w14:paraId="02BA5CE2" w14:textId="77777777" w:rsidR="00DD40FC" w:rsidRDefault="00DD40FC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32FF7" w:rsidRPr="00C32FF7" w14:paraId="1C22C574" w14:textId="77777777" w:rsidTr="00C32FF7">
        <w:tc>
          <w:tcPr>
            <w:tcW w:w="1413" w:type="dxa"/>
          </w:tcPr>
          <w:p w14:paraId="4D374195" w14:textId="77777777" w:rsidR="00C32FF7" w:rsidRPr="00C32FF7" w:rsidRDefault="00C32FF7" w:rsidP="000231CA">
            <w:r w:rsidRPr="00C32FF7">
              <w:t>Šifra Y002</w:t>
            </w:r>
          </w:p>
        </w:tc>
        <w:tc>
          <w:tcPr>
            <w:tcW w:w="7649" w:type="dxa"/>
          </w:tcPr>
          <w:p w14:paraId="5BDBD90E" w14:textId="54610E8F" w:rsidR="00C32FF7" w:rsidRPr="00C32FF7" w:rsidRDefault="00C32FF7" w:rsidP="000231CA">
            <w:r w:rsidRPr="00C32FF7">
              <w:t>Manjak prihoda od nefinancijske imovine iznosi 1</w:t>
            </w:r>
            <w:r w:rsidR="00304283">
              <w:t>87.284 eur.</w:t>
            </w:r>
          </w:p>
        </w:tc>
      </w:tr>
    </w:tbl>
    <w:p w14:paraId="3366E721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32FF7" w:rsidRPr="00C32FF7" w14:paraId="1CE2BCFF" w14:textId="77777777" w:rsidTr="00C32FF7">
        <w:tc>
          <w:tcPr>
            <w:tcW w:w="1413" w:type="dxa"/>
          </w:tcPr>
          <w:p w14:paraId="427F41B7" w14:textId="77777777" w:rsidR="00C32FF7" w:rsidRPr="00C32FF7" w:rsidRDefault="00C32FF7" w:rsidP="000F3617">
            <w:r w:rsidRPr="00C32FF7">
              <w:t>Šifra X678</w:t>
            </w:r>
          </w:p>
        </w:tc>
        <w:tc>
          <w:tcPr>
            <w:tcW w:w="7649" w:type="dxa"/>
          </w:tcPr>
          <w:p w14:paraId="2708EFC2" w14:textId="1304F795" w:rsidR="00C32FF7" w:rsidRPr="00C32FF7" w:rsidRDefault="00C32FF7" w:rsidP="000F3617">
            <w:r w:rsidRPr="00C32FF7">
              <w:t xml:space="preserve">Ukupni prihodi i primici za izvještajno razdoblje iznose </w:t>
            </w:r>
            <w:r w:rsidR="00304283">
              <w:t xml:space="preserve">282,5 mil.eur </w:t>
            </w:r>
          </w:p>
        </w:tc>
      </w:tr>
    </w:tbl>
    <w:p w14:paraId="3EB4BBE0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32FF7" w:rsidRPr="00C32FF7" w14:paraId="6CC94941" w14:textId="77777777" w:rsidTr="00C32FF7">
        <w:tc>
          <w:tcPr>
            <w:tcW w:w="1413" w:type="dxa"/>
          </w:tcPr>
          <w:p w14:paraId="67120210" w14:textId="77777777" w:rsidR="00C32FF7" w:rsidRPr="00C32FF7" w:rsidRDefault="00C32FF7" w:rsidP="00EB66E7">
            <w:r w:rsidRPr="00C32FF7">
              <w:t>Šifra Y345</w:t>
            </w:r>
          </w:p>
        </w:tc>
        <w:tc>
          <w:tcPr>
            <w:tcW w:w="7649" w:type="dxa"/>
          </w:tcPr>
          <w:p w14:paraId="38E60E8F" w14:textId="040718ED" w:rsidR="00C32FF7" w:rsidRPr="00C32FF7" w:rsidRDefault="00C32FF7" w:rsidP="00EB66E7">
            <w:r w:rsidRPr="00C32FF7">
              <w:t xml:space="preserve">Ukupni rashodi i izdaci iznose </w:t>
            </w:r>
            <w:r w:rsidR="00304283">
              <w:t>285,5 mil. eur</w:t>
            </w:r>
            <w:r w:rsidRPr="00C32FF7">
              <w:t>.</w:t>
            </w:r>
          </w:p>
        </w:tc>
      </w:tr>
    </w:tbl>
    <w:p w14:paraId="0B20804E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32FF7" w:rsidRPr="00C32FF7" w14:paraId="45C2FA01" w14:textId="77777777" w:rsidTr="00C32FF7">
        <w:tc>
          <w:tcPr>
            <w:tcW w:w="1413" w:type="dxa"/>
          </w:tcPr>
          <w:p w14:paraId="1824E807" w14:textId="717113B4" w:rsidR="00C32FF7" w:rsidRPr="00C32FF7" w:rsidRDefault="00C32FF7" w:rsidP="00961CC6">
            <w:r w:rsidRPr="00C32FF7">
              <w:t xml:space="preserve">Šifra </w:t>
            </w:r>
            <w:r w:rsidR="00304283">
              <w:t>Y</w:t>
            </w:r>
            <w:r w:rsidRPr="00C32FF7">
              <w:t>005</w:t>
            </w:r>
          </w:p>
        </w:tc>
        <w:tc>
          <w:tcPr>
            <w:tcW w:w="7649" w:type="dxa"/>
          </w:tcPr>
          <w:p w14:paraId="5AE607B8" w14:textId="5A095DEC" w:rsidR="00C32FF7" w:rsidRPr="00C32FF7" w:rsidRDefault="00C32FF7" w:rsidP="00961CC6">
            <w:r w:rsidRPr="00C32FF7">
              <w:t xml:space="preserve">Ukupan </w:t>
            </w:r>
            <w:r w:rsidR="00304283">
              <w:t>manjak</w:t>
            </w:r>
            <w:r w:rsidRPr="00C32FF7">
              <w:t xml:space="preserve"> prihoda i primitaka iznosi </w:t>
            </w:r>
            <w:r w:rsidR="00304283">
              <w:t>3 mil. eur.</w:t>
            </w:r>
            <w:r w:rsidRPr="00C32FF7">
              <w:t xml:space="preserve"> .</w:t>
            </w:r>
          </w:p>
        </w:tc>
      </w:tr>
    </w:tbl>
    <w:p w14:paraId="4F50B69E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32FF7" w:rsidRPr="00C32FF7" w14:paraId="5D350412" w14:textId="77777777" w:rsidTr="00C32FF7">
        <w:tc>
          <w:tcPr>
            <w:tcW w:w="1413" w:type="dxa"/>
          </w:tcPr>
          <w:p w14:paraId="74011ED2" w14:textId="77777777" w:rsidR="00C32FF7" w:rsidRPr="00C32FF7" w:rsidRDefault="00C32FF7" w:rsidP="00E62F65">
            <w:r w:rsidRPr="00C32FF7">
              <w:t>Šifra 9221</w:t>
            </w:r>
          </w:p>
        </w:tc>
        <w:tc>
          <w:tcPr>
            <w:tcW w:w="7649" w:type="dxa"/>
          </w:tcPr>
          <w:p w14:paraId="6A08586C" w14:textId="048CB842" w:rsidR="00C32FF7" w:rsidRPr="00C32FF7" w:rsidRDefault="00C32FF7" w:rsidP="00E62F65">
            <w:r w:rsidRPr="00C32FF7">
              <w:t xml:space="preserve">Preneseni višak prihoda i primitaka iznosi </w:t>
            </w:r>
            <w:r w:rsidR="00304283">
              <w:t>4,9 mil. eur.</w:t>
            </w:r>
          </w:p>
        </w:tc>
      </w:tr>
    </w:tbl>
    <w:p w14:paraId="78A40CE6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32FF7" w:rsidRPr="00C32FF7" w14:paraId="2CCF16B3" w14:textId="77777777" w:rsidTr="00C32FF7">
        <w:tc>
          <w:tcPr>
            <w:tcW w:w="1413" w:type="dxa"/>
          </w:tcPr>
          <w:p w14:paraId="3B680F61" w14:textId="77777777" w:rsidR="00C32FF7" w:rsidRPr="00C32FF7" w:rsidRDefault="00C32FF7" w:rsidP="00123BD3">
            <w:r w:rsidRPr="00C32FF7">
              <w:t>Šifra X006</w:t>
            </w:r>
          </w:p>
        </w:tc>
        <w:tc>
          <w:tcPr>
            <w:tcW w:w="7649" w:type="dxa"/>
          </w:tcPr>
          <w:p w14:paraId="2222D195" w14:textId="58BF870C" w:rsidR="00C32FF7" w:rsidRPr="00C32FF7" w:rsidRDefault="00C32FF7" w:rsidP="00C32FF7">
            <w:pPr>
              <w:jc w:val="both"/>
            </w:pPr>
            <w:r w:rsidRPr="00C32FF7">
              <w:t xml:space="preserve">Višak prihoda i primitaka za iduće razdoblje od </w:t>
            </w:r>
            <w:r w:rsidR="00304283">
              <w:t>1,9 mil eur</w:t>
            </w:r>
            <w:r w:rsidRPr="00C32FF7">
              <w:t xml:space="preserve">, dobiven je nakon što je </w:t>
            </w:r>
            <w:r w:rsidR="00304283">
              <w:t>manjku</w:t>
            </w:r>
            <w:r w:rsidRPr="00C32FF7">
              <w:t xml:space="preserve"> prihoda i primitaka (Šifra </w:t>
            </w:r>
            <w:r w:rsidR="00304283">
              <w:t>Y</w:t>
            </w:r>
            <w:r w:rsidRPr="00C32FF7">
              <w:t>005) , pridodan preneseni višak  prihoda i primitaka  (Šifra 9221-9222) .</w:t>
            </w:r>
          </w:p>
        </w:tc>
      </w:tr>
    </w:tbl>
    <w:p w14:paraId="70F5DA17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32FF7" w:rsidRPr="00C32FF7" w14:paraId="553F0BBD" w14:textId="77777777" w:rsidTr="00C32FF7">
        <w:tc>
          <w:tcPr>
            <w:tcW w:w="1413" w:type="dxa"/>
          </w:tcPr>
          <w:p w14:paraId="791F0EB2" w14:textId="6201D5DF" w:rsidR="00C32FF7" w:rsidRPr="00C32FF7" w:rsidRDefault="00C32FF7" w:rsidP="0099732B">
            <w:r w:rsidRPr="00C32FF7">
              <w:t>Šifra 1</w:t>
            </w:r>
            <w:r w:rsidR="00304283">
              <w:t>1K</w:t>
            </w:r>
          </w:p>
        </w:tc>
        <w:tc>
          <w:tcPr>
            <w:tcW w:w="7649" w:type="dxa"/>
          </w:tcPr>
          <w:p w14:paraId="3783C591" w14:textId="5BB40DA8" w:rsidR="00C32FF7" w:rsidRPr="00C32FF7" w:rsidRDefault="00C32FF7" w:rsidP="0099732B">
            <w:r w:rsidRPr="00C32FF7">
              <w:t xml:space="preserve">Stanje novčanih sredstava na </w:t>
            </w:r>
            <w:r w:rsidR="00304283">
              <w:t xml:space="preserve">kraju </w:t>
            </w:r>
            <w:r w:rsidRPr="00C32FF7">
              <w:t>izvještajnog perioda</w:t>
            </w:r>
            <w:r w:rsidR="00304283">
              <w:t xml:space="preserve"> iznosi </w:t>
            </w:r>
            <w:r w:rsidRPr="00C32FF7">
              <w:t xml:space="preserve"> 0 </w:t>
            </w:r>
            <w:r w:rsidR="00304283">
              <w:t>eur.</w:t>
            </w:r>
          </w:p>
        </w:tc>
      </w:tr>
    </w:tbl>
    <w:p w14:paraId="3A60AF5B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32FF7" w:rsidRPr="00C32FF7" w14:paraId="3D57F521" w14:textId="77777777" w:rsidTr="00C32FF7">
        <w:tc>
          <w:tcPr>
            <w:tcW w:w="1413" w:type="dxa"/>
          </w:tcPr>
          <w:p w14:paraId="43A693FB" w14:textId="70374E55" w:rsidR="00C32FF7" w:rsidRPr="00C32FF7" w:rsidRDefault="00304283" w:rsidP="007372A7">
            <w:r>
              <w:t xml:space="preserve">                  </w:t>
            </w:r>
          </w:p>
        </w:tc>
        <w:tc>
          <w:tcPr>
            <w:tcW w:w="7649" w:type="dxa"/>
          </w:tcPr>
          <w:p w14:paraId="6887D089" w14:textId="7B1C5F14" w:rsidR="00C32FF7" w:rsidRPr="00C32FF7" w:rsidRDefault="00C32FF7" w:rsidP="007372A7"/>
        </w:tc>
      </w:tr>
    </w:tbl>
    <w:p w14:paraId="271F8116" w14:textId="77777777" w:rsidR="00C32D14" w:rsidRDefault="00C32D14" w:rsidP="00C32D14"/>
    <w:p w14:paraId="0C39F14F" w14:textId="77777777" w:rsidR="00C32D14" w:rsidRDefault="00C32D14" w:rsidP="00C32D14"/>
    <w:p w14:paraId="0A7DF395" w14:textId="055975D3" w:rsidR="00C32FF7" w:rsidRDefault="00C32FF7">
      <w:pPr>
        <w:spacing w:after="160" w:line="259" w:lineRule="auto"/>
      </w:pPr>
    </w:p>
    <w:p w14:paraId="35232A23" w14:textId="19074E55" w:rsidR="00C32D14" w:rsidRPr="00A24404" w:rsidRDefault="00C32D14" w:rsidP="00C32FF7">
      <w:pPr>
        <w:pStyle w:val="Heading1"/>
      </w:pPr>
      <w:r w:rsidRPr="00C32FF7">
        <w:lastRenderedPageBreak/>
        <w:t>BILJEŠKE</w:t>
      </w:r>
      <w:r w:rsidRPr="00A24404">
        <w:t xml:space="preserve"> UZ BILANCU</w:t>
      </w:r>
    </w:p>
    <w:p w14:paraId="71F06013" w14:textId="77777777" w:rsidR="00C32D14" w:rsidRPr="00C32D14" w:rsidRDefault="00C32D14" w:rsidP="00C32D14">
      <w:pPr>
        <w:pStyle w:val="ListParagraph"/>
        <w:ind w:left="1560"/>
        <w:rPr>
          <w:b/>
          <w:i/>
        </w:rPr>
      </w:pPr>
    </w:p>
    <w:p w14:paraId="3CB7EC4E" w14:textId="2C03974F" w:rsidR="00C32D14" w:rsidRDefault="00C32D14" w:rsidP="00C32D14">
      <w:pPr>
        <w:rPr>
          <w:b/>
        </w:rPr>
      </w:pPr>
      <w:r>
        <w:rPr>
          <w:b/>
        </w:rPr>
        <w:t>Imovina</w:t>
      </w:r>
    </w:p>
    <w:p w14:paraId="76F1365D" w14:textId="77777777" w:rsidR="00C32D14" w:rsidRDefault="00C32D14" w:rsidP="00C32D14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C93341" w:rsidRPr="00C93341" w14:paraId="5D5BDB30" w14:textId="77777777" w:rsidTr="00C93341">
        <w:tc>
          <w:tcPr>
            <w:tcW w:w="1555" w:type="dxa"/>
          </w:tcPr>
          <w:p w14:paraId="63D3B53A" w14:textId="77777777" w:rsidR="00C93341" w:rsidRPr="00C93341" w:rsidRDefault="00C93341" w:rsidP="009A58BC">
            <w:pPr>
              <w:rPr>
                <w:b/>
              </w:rPr>
            </w:pPr>
            <w:r w:rsidRPr="00C93341">
              <w:rPr>
                <w:bCs/>
              </w:rPr>
              <w:t>Šifra B001</w:t>
            </w:r>
          </w:p>
        </w:tc>
        <w:tc>
          <w:tcPr>
            <w:tcW w:w="7507" w:type="dxa"/>
          </w:tcPr>
          <w:p w14:paraId="4D56661E" w14:textId="0E08CCAB" w:rsidR="00C93341" w:rsidRDefault="00C93341" w:rsidP="00C93341">
            <w:pPr>
              <w:jc w:val="both"/>
            </w:pPr>
            <w:r w:rsidRPr="00C93341">
              <w:t xml:space="preserve">Imovina  iznosi  </w:t>
            </w:r>
            <w:r w:rsidR="00797D75">
              <w:t>10.1</w:t>
            </w:r>
            <w:r w:rsidR="001E1B95">
              <w:t xml:space="preserve">57.424 </w:t>
            </w:r>
            <w:r w:rsidR="00797D75">
              <w:t>eur</w:t>
            </w:r>
            <w:r w:rsidRPr="00C93341">
              <w:t xml:space="preserve">, što  predstavlja smanjenje vrijednosti za </w:t>
            </w:r>
            <w:r w:rsidR="00797D75">
              <w:t>2</w:t>
            </w:r>
            <w:r w:rsidRPr="00C93341">
              <w:t>% u odnosu na početak godine, isključivo kao posljedica smanjenja vrijednosti financijske imovine, tj. potraživanja za dane avanse (avansi su pravdani sa stvarnim troškovima), te amortizacijom nefinancijske imovine</w:t>
            </w:r>
            <w:r>
              <w:t>.</w:t>
            </w:r>
          </w:p>
          <w:p w14:paraId="06986EC2" w14:textId="77777777" w:rsidR="0093258F" w:rsidRDefault="0093258F" w:rsidP="0093258F">
            <w:r>
              <w:t>Struktura imovine je sljedeća:</w:t>
            </w:r>
          </w:p>
          <w:p w14:paraId="20DDC47F" w14:textId="7C502EF7" w:rsidR="0093258F" w:rsidRDefault="0093258F" w:rsidP="0093258F">
            <w:pPr>
              <w:pStyle w:val="ListParagraph"/>
              <w:numPr>
                <w:ilvl w:val="0"/>
                <w:numId w:val="19"/>
              </w:numPr>
            </w:pPr>
            <w:r>
              <w:t xml:space="preserve">Nefinancijska imovina s udjelom od </w:t>
            </w:r>
            <w:r w:rsidR="00797D75">
              <w:t>9</w:t>
            </w:r>
            <w:r>
              <w:t>% vrijednosti,</w:t>
            </w:r>
          </w:p>
          <w:p w14:paraId="76C80291" w14:textId="045C5E2B" w:rsidR="0093258F" w:rsidRDefault="0093258F" w:rsidP="0093258F">
            <w:pPr>
              <w:pStyle w:val="ListParagraph"/>
              <w:numPr>
                <w:ilvl w:val="0"/>
                <w:numId w:val="19"/>
              </w:numPr>
            </w:pPr>
            <w:r>
              <w:t>Financijska imovina s udjelom od 9</w:t>
            </w:r>
            <w:r w:rsidR="00797D75">
              <w:t>1</w:t>
            </w:r>
            <w:r>
              <w:t>% vrijednosti.</w:t>
            </w:r>
          </w:p>
          <w:p w14:paraId="4BDC4BFC" w14:textId="090CE8A5" w:rsidR="0093258F" w:rsidRPr="00C93341" w:rsidRDefault="0093258F" w:rsidP="0093258F">
            <w:r>
              <w:t xml:space="preserve">Struktura imovine promijenjena je u odnosu na početak godine u smislu većeg udjela </w:t>
            </w:r>
            <w:r w:rsidR="00797D75">
              <w:t>ne</w:t>
            </w:r>
            <w:r>
              <w:t>financijske imovine.</w:t>
            </w:r>
          </w:p>
        </w:tc>
      </w:tr>
    </w:tbl>
    <w:p w14:paraId="252A165B" w14:textId="77777777" w:rsidR="00DD40FC" w:rsidRDefault="00DD40FC" w:rsidP="00A2440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C93341" w:rsidRPr="00C93341" w14:paraId="264D786F" w14:textId="77777777" w:rsidTr="00C93341">
        <w:tc>
          <w:tcPr>
            <w:tcW w:w="1555" w:type="dxa"/>
          </w:tcPr>
          <w:p w14:paraId="16AAEFB3" w14:textId="5A20329E" w:rsidR="00C93341" w:rsidRPr="00C93341" w:rsidRDefault="00C93341" w:rsidP="005D426D">
            <w:r w:rsidRPr="00C93341">
              <w:t>Šifra 02</w:t>
            </w:r>
          </w:p>
        </w:tc>
        <w:tc>
          <w:tcPr>
            <w:tcW w:w="7507" w:type="dxa"/>
          </w:tcPr>
          <w:p w14:paraId="36BA5B4D" w14:textId="4403CE45" w:rsidR="00C93341" w:rsidRPr="00C93341" w:rsidRDefault="00C93341" w:rsidP="00C93341">
            <w:pPr>
              <w:jc w:val="both"/>
            </w:pPr>
            <w:r w:rsidRPr="00C93341">
              <w:t xml:space="preserve">Najznačajniji dio nefinancijske imovine odnosi se na proizvedenu dugotrajnu  imovinu. Vrijednost građevinskih objekata nakon obračunate amortizacije iznosi </w:t>
            </w:r>
            <w:r w:rsidR="001E0EFA">
              <w:t>349.043 eur</w:t>
            </w:r>
            <w:r w:rsidRPr="00C93341">
              <w:t>, a odnosi se na poslovni prostor u Splitu veličine 293m2.</w:t>
            </w:r>
          </w:p>
        </w:tc>
      </w:tr>
    </w:tbl>
    <w:p w14:paraId="7C69CD2C" w14:textId="63A7F036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C93341" w:rsidRPr="00C93341" w14:paraId="6100D1CD" w14:textId="77777777" w:rsidTr="00C93341">
        <w:tc>
          <w:tcPr>
            <w:tcW w:w="1555" w:type="dxa"/>
          </w:tcPr>
          <w:p w14:paraId="12164F83" w14:textId="77777777" w:rsidR="00C93341" w:rsidRPr="00C93341" w:rsidRDefault="00C93341" w:rsidP="0082362D">
            <w:r w:rsidRPr="00C93341">
              <w:t>Šifra 022</w:t>
            </w:r>
          </w:p>
        </w:tc>
        <w:tc>
          <w:tcPr>
            <w:tcW w:w="7507" w:type="dxa"/>
          </w:tcPr>
          <w:p w14:paraId="7CF513AD" w14:textId="095D636E" w:rsidR="00C93341" w:rsidRPr="00C93341" w:rsidRDefault="00C93341" w:rsidP="00C93341">
            <w:pPr>
              <w:jc w:val="both"/>
            </w:pPr>
            <w:r w:rsidRPr="00C93341">
              <w:t xml:space="preserve">Postrojenja i oprema najvećim dijelom odnose se na uredsku opremu i namještaj. Došlo je do </w:t>
            </w:r>
            <w:r w:rsidR="00064511">
              <w:t xml:space="preserve">povećanja </w:t>
            </w:r>
            <w:r w:rsidRPr="00C93341">
              <w:t>vrijednosti opreme u odnosu na početak godine, kao posljedica nabavke računalne opreme</w:t>
            </w:r>
            <w:r w:rsidR="00064511">
              <w:t xml:space="preserve"> (prijenosnih računala)</w:t>
            </w:r>
            <w:r w:rsidRPr="00C93341">
              <w:t xml:space="preserve">, </w:t>
            </w:r>
            <w:r w:rsidR="00064511">
              <w:t>te uredske opreme (stolica)</w:t>
            </w:r>
            <w:r w:rsidRPr="00C93341">
              <w:t>.</w:t>
            </w:r>
          </w:p>
        </w:tc>
      </w:tr>
    </w:tbl>
    <w:p w14:paraId="445495FB" w14:textId="77777777" w:rsidR="00200E1D" w:rsidRDefault="00200E1D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C93341" w:rsidRPr="00C93341" w14:paraId="6A95B59B" w14:textId="77777777" w:rsidTr="00C93341">
        <w:tc>
          <w:tcPr>
            <w:tcW w:w="1555" w:type="dxa"/>
          </w:tcPr>
          <w:p w14:paraId="693956DD" w14:textId="77777777" w:rsidR="00C93341" w:rsidRPr="00C93341" w:rsidRDefault="00C93341" w:rsidP="00896DAE">
            <w:r w:rsidRPr="00C93341">
              <w:t>Šifra 023</w:t>
            </w:r>
          </w:p>
        </w:tc>
        <w:tc>
          <w:tcPr>
            <w:tcW w:w="7507" w:type="dxa"/>
          </w:tcPr>
          <w:p w14:paraId="57C6396B" w14:textId="2D4B88E7" w:rsidR="00C93341" w:rsidRPr="00C93341" w:rsidRDefault="00C93341" w:rsidP="00C93341">
            <w:pPr>
              <w:jc w:val="both"/>
            </w:pPr>
            <w:r w:rsidRPr="00C93341">
              <w:t xml:space="preserve">Prijevozna sredstva u cestovnom prometu vrijednosti su </w:t>
            </w:r>
            <w:r w:rsidR="00064511">
              <w:t>4.417 eur</w:t>
            </w:r>
            <w:r w:rsidRPr="00C93341">
              <w:t xml:space="preserve">.  Ministarstvo trenutno ima </w:t>
            </w:r>
            <w:r w:rsidR="007547A4">
              <w:t>5</w:t>
            </w:r>
            <w:r w:rsidRPr="00C93341">
              <w:t xml:space="preserve"> automobila u svojem vlasništvu, dok putem operativnog leasinga koristi još  1</w:t>
            </w:r>
            <w:r w:rsidR="007547A4">
              <w:t>2</w:t>
            </w:r>
            <w:r w:rsidRPr="00C93341">
              <w:t xml:space="preserve"> automobila</w:t>
            </w:r>
            <w:r w:rsidR="00C44FFF">
              <w:t>, te jedan na posudbi od MUP.</w:t>
            </w:r>
          </w:p>
        </w:tc>
      </w:tr>
    </w:tbl>
    <w:p w14:paraId="17B0DF91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C93341" w:rsidRPr="00C93341" w14:paraId="54076CF8" w14:textId="77777777" w:rsidTr="00C93341">
        <w:tc>
          <w:tcPr>
            <w:tcW w:w="1555" w:type="dxa"/>
          </w:tcPr>
          <w:p w14:paraId="29833142" w14:textId="77777777" w:rsidR="00C93341" w:rsidRPr="00C93341" w:rsidRDefault="00C93341" w:rsidP="00252B48">
            <w:r w:rsidRPr="00C93341">
              <w:t>Šifra 026</w:t>
            </w:r>
          </w:p>
        </w:tc>
        <w:tc>
          <w:tcPr>
            <w:tcW w:w="7507" w:type="dxa"/>
          </w:tcPr>
          <w:p w14:paraId="2905868C" w14:textId="64F225A2" w:rsidR="00C93341" w:rsidRPr="00C93341" w:rsidRDefault="00C93341" w:rsidP="00C93341">
            <w:pPr>
              <w:jc w:val="both"/>
            </w:pPr>
            <w:r w:rsidRPr="00C93341">
              <w:t>Nematerijalna proizvedena imovina smanjena je za</w:t>
            </w:r>
            <w:r w:rsidR="001E1B95">
              <w:t xml:space="preserve"> </w:t>
            </w:r>
            <w:r w:rsidRPr="00C93341">
              <w:t xml:space="preserve">3, mil. </w:t>
            </w:r>
            <w:r w:rsidR="00C44FFF">
              <w:t>eur</w:t>
            </w:r>
            <w:r w:rsidRPr="00C93341">
              <w:t xml:space="preserve">, kao posljedica </w:t>
            </w:r>
            <w:r w:rsidR="00C44FFF">
              <w:t>ispravka vrijednosti, te iznosi 0 eur.</w:t>
            </w:r>
            <w:r w:rsidRPr="00C93341">
              <w:t xml:space="preserve"> </w:t>
            </w:r>
          </w:p>
        </w:tc>
      </w:tr>
    </w:tbl>
    <w:p w14:paraId="16FDD46E" w14:textId="77777777" w:rsidR="00C93341" w:rsidRDefault="00C93341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C93341" w:rsidRPr="00C93341" w14:paraId="3E9449EA" w14:textId="77777777" w:rsidTr="00C93341">
        <w:tc>
          <w:tcPr>
            <w:tcW w:w="1555" w:type="dxa"/>
          </w:tcPr>
          <w:p w14:paraId="2022325F" w14:textId="77777777" w:rsidR="00C93341" w:rsidRPr="00C93341" w:rsidRDefault="00C93341" w:rsidP="00476958">
            <w:r w:rsidRPr="00C93341">
              <w:t>Šifra 1</w:t>
            </w:r>
          </w:p>
        </w:tc>
        <w:tc>
          <w:tcPr>
            <w:tcW w:w="7507" w:type="dxa"/>
          </w:tcPr>
          <w:p w14:paraId="7CB5AF41" w14:textId="68209F5D" w:rsidR="00F56139" w:rsidRDefault="00C93341" w:rsidP="00C93341">
            <w:pPr>
              <w:jc w:val="both"/>
            </w:pPr>
            <w:r w:rsidRPr="00C93341">
              <w:t xml:space="preserve">Financijska imovina iznosi </w:t>
            </w:r>
            <w:r w:rsidR="00630C68">
              <w:t>9,3</w:t>
            </w:r>
            <w:r w:rsidRPr="00C93341">
              <w:t xml:space="preserve"> mil. </w:t>
            </w:r>
            <w:r w:rsidR="00630C68">
              <w:t>eur</w:t>
            </w:r>
            <w:r w:rsidRPr="00C93341">
              <w:t xml:space="preserve">,, te je za </w:t>
            </w:r>
            <w:r w:rsidR="00630C68">
              <w:t>5</w:t>
            </w:r>
            <w:r w:rsidRPr="00C93341">
              <w:t>%  smanjenje</w:t>
            </w:r>
            <w:r w:rsidR="00630C68">
              <w:t xml:space="preserve">na </w:t>
            </w:r>
            <w:r w:rsidRPr="00C93341">
              <w:t xml:space="preserve"> u odnosu na početak godine, a sastoji se od: </w:t>
            </w:r>
          </w:p>
          <w:p w14:paraId="5AF33064" w14:textId="374358CD" w:rsidR="00C93341" w:rsidRPr="00C93341" w:rsidRDefault="00C93341" w:rsidP="00630C68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 xml:space="preserve">Potraživanje za predujmove dane iz Fonda za sufinanciranje EU projekata u iznosu od </w:t>
            </w:r>
            <w:r w:rsidR="00630C68">
              <w:t>1,7</w:t>
            </w:r>
            <w:r>
              <w:t xml:space="preserve"> mil </w:t>
            </w:r>
            <w:r w:rsidR="00630C68">
              <w:t>eur</w:t>
            </w:r>
            <w:r>
              <w:t>. Za navedeno  ustrojena je analitička evidencija u računovodstvenom sustavu MRRFEU.</w:t>
            </w:r>
          </w:p>
        </w:tc>
      </w:tr>
    </w:tbl>
    <w:p w14:paraId="05DC58E8" w14:textId="77777777" w:rsidR="00C93341" w:rsidRDefault="00C93341" w:rsidP="00C32D14"/>
    <w:tbl>
      <w:tblPr>
        <w:tblStyle w:val="TableGrid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</w:tblGrid>
      <w:tr w:rsidR="0093258F" w:rsidRPr="0093258F" w14:paraId="049493BA" w14:textId="77777777" w:rsidTr="0093258F">
        <w:tc>
          <w:tcPr>
            <w:tcW w:w="7649" w:type="dxa"/>
          </w:tcPr>
          <w:p w14:paraId="4F31DFE0" w14:textId="53B4B883" w:rsidR="00A13AC4" w:rsidRDefault="0093258F" w:rsidP="00630C68">
            <w:pPr>
              <w:pStyle w:val="ListParagraph"/>
              <w:numPr>
                <w:ilvl w:val="0"/>
                <w:numId w:val="21"/>
              </w:numPr>
              <w:jc w:val="both"/>
            </w:pPr>
            <w:r w:rsidRPr="0093258F">
              <w:t xml:space="preserve">Potraživanja za prihode poslovanja iznose </w:t>
            </w:r>
            <w:r w:rsidR="00630C68">
              <w:t>6</w:t>
            </w:r>
            <w:r w:rsidRPr="0093258F">
              <w:t>,2</w:t>
            </w:r>
            <w:r w:rsidR="002F396C">
              <w:t xml:space="preserve">  </w:t>
            </w:r>
            <w:r w:rsidRPr="0093258F">
              <w:t xml:space="preserve">mil. </w:t>
            </w:r>
            <w:r w:rsidR="00630C68">
              <w:t>eur</w:t>
            </w:r>
            <w:r w:rsidRPr="0093258F">
              <w:t xml:space="preserve">, što je povećanje za </w:t>
            </w:r>
            <w:r w:rsidR="00630C68">
              <w:t>2</w:t>
            </w:r>
            <w:r w:rsidR="00C779A0">
              <w:t>5</w:t>
            </w:r>
            <w:r w:rsidRPr="0093258F">
              <w:t>% vrijednosti s početka godine. Razlog leži u činjenici što su osjetno povećana potraživanja za pomoći od EU institucija.</w:t>
            </w:r>
          </w:p>
          <w:p w14:paraId="18DA2A47" w14:textId="32ECA398" w:rsidR="0093258F" w:rsidRPr="0093258F" w:rsidRDefault="0093258F" w:rsidP="00630C68">
            <w:pPr>
              <w:pStyle w:val="ListParagraph"/>
              <w:numPr>
                <w:ilvl w:val="0"/>
                <w:numId w:val="21"/>
              </w:numPr>
              <w:jc w:val="both"/>
            </w:pPr>
            <w:r w:rsidRPr="0093258F">
              <w:t xml:space="preserve">Potraživanje za dane zajmove iznosi </w:t>
            </w:r>
            <w:r w:rsidR="004E50FA">
              <w:t>59</w:t>
            </w:r>
            <w:r w:rsidRPr="0093258F">
              <w:t>.</w:t>
            </w:r>
            <w:r w:rsidR="004E50FA">
              <w:t>286</w:t>
            </w:r>
            <w:r w:rsidRPr="0093258F">
              <w:t xml:space="preserve"> </w:t>
            </w:r>
            <w:r w:rsidR="004E50FA">
              <w:t xml:space="preserve">eur </w:t>
            </w:r>
            <w:r w:rsidRPr="0093258F">
              <w:t xml:space="preserve">i za </w:t>
            </w:r>
            <w:r w:rsidR="004E50FA">
              <w:t>62</w:t>
            </w:r>
            <w:r w:rsidRPr="0093258F">
              <w:t>% su smanjena u odnosu na početak godine (Šifra 13)</w:t>
            </w:r>
            <w:r w:rsidR="00C779A0">
              <w:t>, kao rezultat otplate zajmova</w:t>
            </w:r>
            <w:r w:rsidRPr="0093258F">
              <w:t>.</w:t>
            </w:r>
          </w:p>
        </w:tc>
      </w:tr>
      <w:tr w:rsidR="0093258F" w:rsidRPr="0093258F" w14:paraId="7FF1F1DF" w14:textId="77777777" w:rsidTr="0093258F">
        <w:tc>
          <w:tcPr>
            <w:tcW w:w="7649" w:type="dxa"/>
          </w:tcPr>
          <w:p w14:paraId="20A1F2F2" w14:textId="60D77D1E" w:rsidR="0093258F" w:rsidRPr="0093258F" w:rsidRDefault="0093258F" w:rsidP="00C47E0D">
            <w:pPr>
              <w:jc w:val="both"/>
            </w:pPr>
            <w:r w:rsidRPr="0093258F">
              <w:t>Potraživanja  za zajmove vezana su uz kredite  bivšeg Fonda za regionalni razvoj, čije vođenje je povjereno HBOR-u u ime i za račun Ministarstva.</w:t>
            </w:r>
            <w:r>
              <w:t xml:space="preserve"> </w:t>
            </w:r>
            <w:r w:rsidRPr="0093258F">
              <w:t>Krediti Fonda za regionalni razvoj temeljem Ugovora i pojedinačnih odluka Fonda. HBOR je zaključio ugovore s korisnicima kredita (jedinice lokalne područne, regionalne uprave i samouprave) kojima su regulirani uvjeti kredita: rok otplate 15 godine uključujući i poček od 3 godine, kamatna stopa 2,5% godišnje na infrastrukturne projekte, 4% godišnje za gospodarske projekte.</w:t>
            </w:r>
          </w:p>
        </w:tc>
      </w:tr>
      <w:tr w:rsidR="0093258F" w:rsidRPr="0093258F" w14:paraId="4044587C" w14:textId="77777777" w:rsidTr="0093258F">
        <w:tc>
          <w:tcPr>
            <w:tcW w:w="7649" w:type="dxa"/>
          </w:tcPr>
          <w:p w14:paraId="7FD8EE8B" w14:textId="0444A81A" w:rsidR="0093258F" w:rsidRPr="0093258F" w:rsidRDefault="0093258F" w:rsidP="00C47E0D">
            <w:pPr>
              <w:jc w:val="both"/>
            </w:pPr>
            <w:r w:rsidRPr="0093258F">
              <w:lastRenderedPageBreak/>
              <w:t>Namjena za ulaganja u osnovna sredstva i najmanji mogući iznos potrebnih obrtnih sredstava. HBOR je zaključio 32 ugovora o kreditu s korisnicima kredita, sveukupno 35,3 mil. kn, a isplaćeno je korisnicima 33,3 mil. kn.</w:t>
            </w:r>
            <w:r w:rsidR="00A13AC4">
              <w:t xml:space="preserve"> </w:t>
            </w:r>
            <w:r w:rsidRPr="0093258F">
              <w:t xml:space="preserve">Preostala nedospjela glavnica iznosi </w:t>
            </w:r>
            <w:r w:rsidR="00950F07">
              <w:t>56.345 eur</w:t>
            </w:r>
            <w:r w:rsidRPr="0093258F">
              <w:t xml:space="preserve">, dok je dospjeli iznos glavnice </w:t>
            </w:r>
            <w:r w:rsidR="00950F07">
              <w:t>2.941 eur</w:t>
            </w:r>
            <w:r w:rsidRPr="0093258F">
              <w:t>, radi se o kašnjenju od svega par mjeseci, budući da HBOR provodi mjere naplate, za što postoje instrumenti osiguranja plaćanja.</w:t>
            </w:r>
          </w:p>
        </w:tc>
      </w:tr>
    </w:tbl>
    <w:p w14:paraId="3095DAB8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93341" w:rsidRPr="00C93341" w14:paraId="0E07FD78" w14:textId="77777777" w:rsidTr="00C93341">
        <w:tc>
          <w:tcPr>
            <w:tcW w:w="1413" w:type="dxa"/>
          </w:tcPr>
          <w:p w14:paraId="569C4182" w14:textId="77777777" w:rsidR="00C93341" w:rsidRDefault="00C93341" w:rsidP="00C61995">
            <w:r w:rsidRPr="00C93341">
              <w:t>Šifra 16</w:t>
            </w:r>
          </w:p>
          <w:p w14:paraId="0C53E043" w14:textId="77777777" w:rsidR="009C7832" w:rsidRPr="00C93341" w:rsidRDefault="009C7832" w:rsidP="00C61995"/>
        </w:tc>
        <w:tc>
          <w:tcPr>
            <w:tcW w:w="7649" w:type="dxa"/>
          </w:tcPr>
          <w:p w14:paraId="1862F512" w14:textId="27606D9C" w:rsidR="002560E8" w:rsidRDefault="00C93341" w:rsidP="00C60AB3">
            <w:pPr>
              <w:jc w:val="both"/>
            </w:pPr>
            <w:r w:rsidRPr="00C93341">
              <w:t>Potraživanja za prihode iz proračuna najvećim dijelom vezana su za potraživanja za prihode iz proračuna, za sljedeće namjene:</w:t>
            </w:r>
          </w:p>
          <w:p w14:paraId="44C3C965" w14:textId="77777777" w:rsidR="002560E8" w:rsidRDefault="002560E8" w:rsidP="00C60AB3">
            <w:pPr>
              <w:jc w:val="both"/>
            </w:pPr>
          </w:p>
          <w:p w14:paraId="285D040A" w14:textId="0FD5B265" w:rsidR="00C93341" w:rsidRDefault="002560E8" w:rsidP="002560E8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Potraživanja za vlastite prihode s naslova pruženih usluga FLC kontrolora, izvor 31, uplaćenih u proračun u iznosu od 180.197 eur;</w:t>
            </w:r>
          </w:p>
          <w:p w14:paraId="1FCAD1A5" w14:textId="2934B135" w:rsidR="00C60AB3" w:rsidRDefault="00C60AB3" w:rsidP="00C60AB3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Potraživanja za sredstva EU IPA 1,4 mil. eur, izvor 51;</w:t>
            </w:r>
          </w:p>
          <w:p w14:paraId="3604105D" w14:textId="63964213" w:rsidR="00C60AB3" w:rsidRDefault="00C60AB3" w:rsidP="00C60AB3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3,7 mil. eur potraživanja za sredstva refunadacije, izvori 559 i 552;</w:t>
            </w:r>
          </w:p>
          <w:p w14:paraId="2407EF29" w14:textId="3E2FE82D" w:rsidR="00C60AB3" w:rsidRDefault="00961B15" w:rsidP="00C60AB3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Potraživanja za povrat sredstava po ugovorima iz ranijih godina u </w:t>
            </w:r>
          </w:p>
          <w:p w14:paraId="41BF09DB" w14:textId="77777777" w:rsidR="00C93341" w:rsidRDefault="00961B15" w:rsidP="003447F1">
            <w:pPr>
              <w:pStyle w:val="ListParagraph"/>
              <w:jc w:val="both"/>
            </w:pPr>
            <w:r>
              <w:t>iznosu od 328.401 eur koja će se uplatiti u državni proračun.</w:t>
            </w:r>
          </w:p>
          <w:p w14:paraId="08CF2696" w14:textId="5350A8E3" w:rsidR="003447F1" w:rsidRPr="00C93341" w:rsidRDefault="003447F1" w:rsidP="003447F1">
            <w:pPr>
              <w:pStyle w:val="ListParagraph"/>
              <w:jc w:val="both"/>
            </w:pPr>
          </w:p>
        </w:tc>
      </w:tr>
      <w:tr w:rsidR="00C93341" w:rsidRPr="00C93341" w14:paraId="08B2AC1E" w14:textId="77777777" w:rsidTr="00C93341">
        <w:tc>
          <w:tcPr>
            <w:tcW w:w="1413" w:type="dxa"/>
          </w:tcPr>
          <w:p w14:paraId="756E6FA2" w14:textId="36C16C6D" w:rsidR="00C93341" w:rsidRPr="009C7832" w:rsidRDefault="00304283" w:rsidP="00EB600F">
            <w:r w:rsidRPr="009C7832">
              <w:t xml:space="preserve"> </w:t>
            </w:r>
            <w:r w:rsidR="003447F1">
              <w:t>Šifra 19</w:t>
            </w:r>
            <w:r w:rsidRPr="009C7832">
              <w:t xml:space="preserve">                          </w:t>
            </w:r>
          </w:p>
        </w:tc>
        <w:tc>
          <w:tcPr>
            <w:tcW w:w="7649" w:type="dxa"/>
          </w:tcPr>
          <w:p w14:paraId="28BD7EB5" w14:textId="7F511E8E" w:rsidR="00C93341" w:rsidRPr="00C93341" w:rsidRDefault="00C93341" w:rsidP="00C93341">
            <w:pPr>
              <w:jc w:val="both"/>
            </w:pPr>
            <w:r w:rsidRPr="00C93341">
              <w:t>Rashodi budućeg razdoblja odnose se na obračunatu plaću za 12. mjesec 202</w:t>
            </w:r>
            <w:r w:rsidR="00C779A0">
              <w:t>3</w:t>
            </w:r>
            <w:r w:rsidRPr="00C93341">
              <w:t xml:space="preserve">. u iznosu od </w:t>
            </w:r>
            <w:r w:rsidR="00C779A0">
              <w:t>1.303.965 eur</w:t>
            </w:r>
            <w:r w:rsidRPr="00C93341">
              <w:t>.</w:t>
            </w:r>
          </w:p>
        </w:tc>
      </w:tr>
    </w:tbl>
    <w:p w14:paraId="2BAB2C53" w14:textId="60D039ED" w:rsidR="001D2DC4" w:rsidRDefault="001D2DC4" w:rsidP="00C32D14"/>
    <w:p w14:paraId="05ACC1A0" w14:textId="77777777" w:rsidR="003E57D0" w:rsidRDefault="003E57D0" w:rsidP="003E57D0">
      <w:pPr>
        <w:pStyle w:val="Heading1"/>
        <w:numPr>
          <w:ilvl w:val="0"/>
          <w:numId w:val="0"/>
        </w:numPr>
      </w:pPr>
      <w:r>
        <w:t xml:space="preserve">      </w:t>
      </w:r>
    </w:p>
    <w:p w14:paraId="7E333ABB" w14:textId="0EBA3CA5" w:rsidR="00C32D14" w:rsidRPr="000B1E77" w:rsidRDefault="003E57D0" w:rsidP="003E57D0">
      <w:pPr>
        <w:pStyle w:val="Heading1"/>
        <w:numPr>
          <w:ilvl w:val="0"/>
          <w:numId w:val="0"/>
        </w:numPr>
      </w:pPr>
      <w:r>
        <w:t xml:space="preserve">            </w:t>
      </w:r>
      <w:r w:rsidR="00C32D14" w:rsidRPr="000B1E77">
        <w:t xml:space="preserve">Obveze i </w:t>
      </w:r>
      <w:r w:rsidR="00C32D14" w:rsidRPr="003B152F">
        <w:t>vlastiti</w:t>
      </w:r>
      <w:r w:rsidR="00C32D14" w:rsidRPr="000B1E77">
        <w:t xml:space="preserve"> izvori</w:t>
      </w:r>
    </w:p>
    <w:p w14:paraId="3E498411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93341" w:rsidRPr="00C93341" w14:paraId="085BBBE0" w14:textId="77777777" w:rsidTr="004702E6">
        <w:tc>
          <w:tcPr>
            <w:tcW w:w="1413" w:type="dxa"/>
          </w:tcPr>
          <w:p w14:paraId="673AECF7" w14:textId="77777777" w:rsidR="00C93341" w:rsidRPr="00C93341" w:rsidRDefault="00C93341" w:rsidP="0068671F">
            <w:r w:rsidRPr="00C93341">
              <w:t>Šifra 2</w:t>
            </w:r>
          </w:p>
        </w:tc>
        <w:tc>
          <w:tcPr>
            <w:tcW w:w="7649" w:type="dxa"/>
          </w:tcPr>
          <w:p w14:paraId="5AA1B2F8" w14:textId="732767FB" w:rsidR="00C93341" w:rsidRPr="00C93341" w:rsidRDefault="00C93341" w:rsidP="0068671F">
            <w:r w:rsidRPr="00C93341">
              <w:t xml:space="preserve">Ukupne obveze iznose </w:t>
            </w:r>
            <w:r w:rsidR="00816ECC">
              <w:t>3,6</w:t>
            </w:r>
            <w:r w:rsidRPr="00C93341">
              <w:t xml:space="preserve"> mil. </w:t>
            </w:r>
            <w:r w:rsidR="00816ECC">
              <w:t xml:space="preserve">eur </w:t>
            </w:r>
            <w:r w:rsidRPr="00C93341">
              <w:t xml:space="preserve">i predstavljaju  </w:t>
            </w:r>
            <w:r w:rsidR="00816ECC">
              <w:t>36</w:t>
            </w:r>
            <w:r w:rsidRPr="00C93341">
              <w:t xml:space="preserve">% ukupnih izvora sredstava, te su za </w:t>
            </w:r>
            <w:r w:rsidR="00816ECC">
              <w:t>81</w:t>
            </w:r>
            <w:r w:rsidRPr="00C93341">
              <w:t xml:space="preserve">% </w:t>
            </w:r>
            <w:r w:rsidR="00816ECC">
              <w:t>povećane</w:t>
            </w:r>
            <w:r w:rsidRPr="00C93341">
              <w:t xml:space="preserve"> u odnosu na početak godine, kao rezultat </w:t>
            </w:r>
            <w:r w:rsidR="00816ECC">
              <w:t>povećanih poslovnih aktivnosti krajem 2023. godine</w:t>
            </w:r>
            <w:r w:rsidRPr="00C93341">
              <w:t>.</w:t>
            </w:r>
          </w:p>
        </w:tc>
      </w:tr>
    </w:tbl>
    <w:p w14:paraId="06419BD3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93341" w:rsidRPr="00C93341" w14:paraId="04FE8E96" w14:textId="77777777" w:rsidTr="004702E6">
        <w:tc>
          <w:tcPr>
            <w:tcW w:w="1413" w:type="dxa"/>
          </w:tcPr>
          <w:p w14:paraId="22DD19F2" w14:textId="77777777" w:rsidR="00C93341" w:rsidRPr="00C93341" w:rsidRDefault="00C93341" w:rsidP="00871E14">
            <w:r w:rsidRPr="00C93341">
              <w:t>Šifra 23</w:t>
            </w:r>
          </w:p>
        </w:tc>
        <w:tc>
          <w:tcPr>
            <w:tcW w:w="7649" w:type="dxa"/>
          </w:tcPr>
          <w:p w14:paraId="17391C47" w14:textId="15CB9120" w:rsidR="00C93341" w:rsidRPr="00C93341" w:rsidRDefault="00C93341" w:rsidP="00C93341">
            <w:pPr>
              <w:jc w:val="both"/>
            </w:pPr>
            <w:r w:rsidRPr="00C93341">
              <w:t xml:space="preserve">Obveze za rashode poslovanja iznose </w:t>
            </w:r>
            <w:r w:rsidR="005C0EA5">
              <w:t>3,6</w:t>
            </w:r>
            <w:r w:rsidRPr="00C93341">
              <w:t xml:space="preserve"> mil. </w:t>
            </w:r>
            <w:r w:rsidR="005C0EA5">
              <w:t>eur</w:t>
            </w:r>
            <w:r w:rsidRPr="00C93341">
              <w:t xml:space="preserve"> .Najznačajnije obveze odnose se na obveze za  predujmove iz EU fondova – pred-financiranje po projektima financiranim iz EU fondova </w:t>
            </w:r>
            <w:r w:rsidR="005C0EA5">
              <w:t>1,9</w:t>
            </w:r>
            <w:r w:rsidRPr="00C93341">
              <w:t xml:space="preserve"> mil </w:t>
            </w:r>
            <w:r w:rsidR="005C0EA5">
              <w:t>eur</w:t>
            </w:r>
            <w:r w:rsidRPr="00C93341">
              <w:t>,</w:t>
            </w:r>
            <w:r w:rsidR="005C0EA5">
              <w:t xml:space="preserve"> </w:t>
            </w:r>
            <w:r w:rsidRPr="00C93341">
              <w:t xml:space="preserve">obveze za IPA predujmove, zatim obveze za jamčevne  pologe. Ove obveze </w:t>
            </w:r>
            <w:r w:rsidR="005C0EA5">
              <w:t>povećane</w:t>
            </w:r>
            <w:r w:rsidRPr="00C93341">
              <w:t xml:space="preserve"> su odnosu na početak godine. Obveze prema zaposlenicima </w:t>
            </w:r>
            <w:r w:rsidR="005C0EA5">
              <w:t>1,3</w:t>
            </w:r>
            <w:r w:rsidRPr="00C93341">
              <w:t xml:space="preserve"> mil</w:t>
            </w:r>
            <w:r w:rsidR="005D5E31">
              <w:t>.</w:t>
            </w:r>
            <w:r w:rsidR="005C0EA5">
              <w:t>eur</w:t>
            </w:r>
            <w:r w:rsidR="005D5E31">
              <w:t>.</w:t>
            </w:r>
            <w:r w:rsidR="005C0EA5">
              <w:t xml:space="preserve"> </w:t>
            </w:r>
            <w:r w:rsidRPr="00C93341">
              <w:t xml:space="preserve"> odnose se na obračunatu plaću za 12.mjesec 202</w:t>
            </w:r>
            <w:r w:rsidR="00026F59">
              <w:t>3</w:t>
            </w:r>
            <w:r w:rsidRPr="00C93341">
              <w:t xml:space="preserve">. godine. Na obveze za </w:t>
            </w:r>
            <w:r w:rsidR="00D244C9">
              <w:t xml:space="preserve">subvencije odnosi se 356 tis. eur, dok na </w:t>
            </w:r>
            <w:r w:rsidRPr="00C93341">
              <w:t>materijalne rashode o</w:t>
            </w:r>
            <w:r w:rsidR="00D244C9">
              <w:t>tpada</w:t>
            </w:r>
            <w:r w:rsidR="005D5E31">
              <w:t xml:space="preserve"> </w:t>
            </w:r>
            <w:r w:rsidR="00026F59">
              <w:t>140 tis. eur.</w:t>
            </w:r>
          </w:p>
        </w:tc>
      </w:tr>
    </w:tbl>
    <w:p w14:paraId="16E8CE6C" w14:textId="77777777" w:rsidR="00C32D14" w:rsidRDefault="00C32D14" w:rsidP="00C32D14"/>
    <w:p w14:paraId="7C43D45B" w14:textId="05F5718E" w:rsidR="00C32D14" w:rsidRPr="003B152F" w:rsidRDefault="00C32D14" w:rsidP="003B152F">
      <w:pPr>
        <w:pStyle w:val="Heading1"/>
      </w:pPr>
      <w:r w:rsidRPr="003B152F">
        <w:t>Obrazac obveze</w:t>
      </w:r>
    </w:p>
    <w:p w14:paraId="5136A011" w14:textId="77777777" w:rsidR="00C32D14" w:rsidRDefault="00C32D14" w:rsidP="00C32D14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93341" w:rsidRPr="00C93341" w14:paraId="74D84EA5" w14:textId="77777777" w:rsidTr="004702E6">
        <w:tc>
          <w:tcPr>
            <w:tcW w:w="1413" w:type="dxa"/>
          </w:tcPr>
          <w:p w14:paraId="5C2FC020" w14:textId="77777777" w:rsidR="00C93341" w:rsidRPr="00C93341" w:rsidRDefault="00C93341" w:rsidP="00D9527A">
            <w:r w:rsidRPr="00C93341">
              <w:t>Šifra V001</w:t>
            </w:r>
          </w:p>
        </w:tc>
        <w:tc>
          <w:tcPr>
            <w:tcW w:w="7649" w:type="dxa"/>
          </w:tcPr>
          <w:p w14:paraId="2EEA7D5E" w14:textId="3EEA0BC1" w:rsidR="00C93341" w:rsidRPr="00C93341" w:rsidRDefault="00C93341" w:rsidP="00C93341">
            <w:pPr>
              <w:jc w:val="both"/>
            </w:pPr>
            <w:r w:rsidRPr="00C93341">
              <w:t xml:space="preserve">Obveze su na početku godine iznosile </w:t>
            </w:r>
            <w:r w:rsidR="00542AA5">
              <w:t>2</w:t>
            </w:r>
            <w:r w:rsidRPr="00C93341">
              <w:t xml:space="preserve"> mil</w:t>
            </w:r>
            <w:r w:rsidR="005D5E31">
              <w:t>.</w:t>
            </w:r>
            <w:r w:rsidR="00542AA5">
              <w:t>eur</w:t>
            </w:r>
            <w:r w:rsidRPr="00C93341">
              <w:t>. Početkom godine ministarstvo nije imalo dospjelih, a nepodmirenih obveza iz protekle godine</w:t>
            </w:r>
            <w:r w:rsidR="008264C0">
              <w:t>.</w:t>
            </w:r>
          </w:p>
        </w:tc>
      </w:tr>
    </w:tbl>
    <w:p w14:paraId="50CC2E55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93341" w:rsidRPr="00C93341" w14:paraId="66FF701F" w14:textId="77777777" w:rsidTr="004702E6">
        <w:tc>
          <w:tcPr>
            <w:tcW w:w="1413" w:type="dxa"/>
          </w:tcPr>
          <w:p w14:paraId="421A9BD9" w14:textId="77777777" w:rsidR="00C93341" w:rsidRPr="00C93341" w:rsidRDefault="00C93341" w:rsidP="00967C92">
            <w:r w:rsidRPr="00C93341">
              <w:t>Šifra V002</w:t>
            </w:r>
          </w:p>
        </w:tc>
        <w:tc>
          <w:tcPr>
            <w:tcW w:w="7649" w:type="dxa"/>
          </w:tcPr>
          <w:p w14:paraId="11D9AE46" w14:textId="7E600CA3" w:rsidR="00C93341" w:rsidRPr="00C93341" w:rsidRDefault="00C93341" w:rsidP="00C93341">
            <w:pPr>
              <w:jc w:val="both"/>
            </w:pPr>
            <w:r w:rsidRPr="00C93341">
              <w:t>Tijekom 202</w:t>
            </w:r>
            <w:r w:rsidR="00542AA5">
              <w:t>3</w:t>
            </w:r>
            <w:r w:rsidRPr="00C93341">
              <w:t xml:space="preserve">. godine stvorene su ukupne obveze u iznosu od </w:t>
            </w:r>
            <w:r w:rsidR="00542AA5">
              <w:t>207,3</w:t>
            </w:r>
            <w:r w:rsidRPr="00C93341">
              <w:t xml:space="preserve"> mil. </w:t>
            </w:r>
            <w:r w:rsidR="00542AA5">
              <w:t>eur</w:t>
            </w:r>
            <w:r w:rsidRPr="00C93341">
              <w:t xml:space="preserve">. Najveći iznos otpada na ostale tekuće obveze </w:t>
            </w:r>
            <w:r w:rsidR="00542AA5">
              <w:t>116</w:t>
            </w:r>
            <w:r w:rsidRPr="00C93341">
              <w:t xml:space="preserve">,7 mil. </w:t>
            </w:r>
            <w:r w:rsidR="00542AA5">
              <w:t>eur</w:t>
            </w:r>
            <w:r w:rsidRPr="00C93341">
              <w:t xml:space="preserve">, zatim obveze za zaposlene </w:t>
            </w:r>
            <w:r w:rsidR="00542AA5">
              <w:t>1</w:t>
            </w:r>
            <w:r w:rsidRPr="00C93341">
              <w:t xml:space="preserve">4 mil. </w:t>
            </w:r>
            <w:r w:rsidR="00542AA5">
              <w:t>eur</w:t>
            </w:r>
            <w:r w:rsidRPr="00C93341">
              <w:t xml:space="preserve">, obveze za kapitalne pomoći </w:t>
            </w:r>
            <w:r w:rsidR="00542AA5">
              <w:t>16,7</w:t>
            </w:r>
            <w:r w:rsidRPr="00C93341">
              <w:t xml:space="preserve"> mil</w:t>
            </w:r>
            <w:r w:rsidR="008264C0">
              <w:t>.</w:t>
            </w:r>
            <w:r w:rsidR="00542AA5">
              <w:t>eur</w:t>
            </w:r>
            <w:r w:rsidRPr="00C93341">
              <w:t xml:space="preserve">, materijalne rashode </w:t>
            </w:r>
            <w:r w:rsidR="00542AA5">
              <w:t xml:space="preserve">6 </w:t>
            </w:r>
            <w:r w:rsidRPr="00C93341">
              <w:t xml:space="preserve">mil. </w:t>
            </w:r>
            <w:r w:rsidR="00542AA5">
              <w:t>eur</w:t>
            </w:r>
            <w:r w:rsidR="008264C0">
              <w:t>.,</w:t>
            </w:r>
            <w:r w:rsidRPr="00C93341">
              <w:t xml:space="preserve"> subvencije 4</w:t>
            </w:r>
            <w:r w:rsidR="00542AA5">
              <w:t>7,5</w:t>
            </w:r>
            <w:r w:rsidRPr="00C93341">
              <w:t xml:space="preserve"> mil. </w:t>
            </w:r>
            <w:r w:rsidR="00542AA5">
              <w:t>eur</w:t>
            </w:r>
            <w:r w:rsidRPr="00C93341">
              <w:t>.</w:t>
            </w:r>
          </w:p>
        </w:tc>
      </w:tr>
    </w:tbl>
    <w:p w14:paraId="0A0EFDF9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93341" w:rsidRPr="00C93341" w14:paraId="61481737" w14:textId="77777777" w:rsidTr="004702E6">
        <w:tc>
          <w:tcPr>
            <w:tcW w:w="1413" w:type="dxa"/>
          </w:tcPr>
          <w:p w14:paraId="31A39E12" w14:textId="77777777" w:rsidR="00C93341" w:rsidRPr="00C93341" w:rsidRDefault="00C93341" w:rsidP="00A368AB">
            <w:r w:rsidRPr="00C93341">
              <w:t>Šifra V004</w:t>
            </w:r>
          </w:p>
        </w:tc>
        <w:tc>
          <w:tcPr>
            <w:tcW w:w="7649" w:type="dxa"/>
          </w:tcPr>
          <w:p w14:paraId="6CF3D53B" w14:textId="26661E34" w:rsidR="00C93341" w:rsidRPr="00C93341" w:rsidRDefault="00C93341" w:rsidP="00C93341">
            <w:pPr>
              <w:jc w:val="both"/>
            </w:pPr>
            <w:r w:rsidRPr="00C93341">
              <w:t xml:space="preserve">Ukupno su u izvještajnom razdoblju podmirene obveze u iznosu od </w:t>
            </w:r>
            <w:r w:rsidR="001C6022">
              <w:t>205,7</w:t>
            </w:r>
            <w:r w:rsidRPr="00C93341">
              <w:t xml:space="preserve">  mil. </w:t>
            </w:r>
            <w:r w:rsidR="001C6022">
              <w:t>eur,</w:t>
            </w:r>
            <w:r w:rsidRPr="00C93341">
              <w:t xml:space="preserve"> </w:t>
            </w:r>
            <w:r w:rsidR="001C6022">
              <w:t>š</w:t>
            </w:r>
            <w:r w:rsidRPr="00C93341">
              <w:t xml:space="preserve">to je uzrokovalo </w:t>
            </w:r>
            <w:r w:rsidR="001C6022">
              <w:t>povećanju</w:t>
            </w:r>
            <w:r w:rsidRPr="00C93341">
              <w:t xml:space="preserve"> obveza na kraju izvještajnog razdoblja.</w:t>
            </w:r>
          </w:p>
        </w:tc>
      </w:tr>
    </w:tbl>
    <w:p w14:paraId="1A792248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44"/>
      </w:tblGrid>
      <w:tr w:rsidR="004702E6" w:rsidRPr="004702E6" w14:paraId="2E05ADFF" w14:textId="77777777" w:rsidTr="004702E6">
        <w:tc>
          <w:tcPr>
            <w:tcW w:w="1418" w:type="dxa"/>
          </w:tcPr>
          <w:p w14:paraId="222DC6DE" w14:textId="77777777" w:rsidR="004702E6" w:rsidRPr="004702E6" w:rsidRDefault="004702E6" w:rsidP="008A74BF">
            <w:r w:rsidRPr="004702E6">
              <w:lastRenderedPageBreak/>
              <w:t>Šifra V006</w:t>
            </w:r>
          </w:p>
        </w:tc>
        <w:tc>
          <w:tcPr>
            <w:tcW w:w="7644" w:type="dxa"/>
          </w:tcPr>
          <w:p w14:paraId="513309A4" w14:textId="42A95342" w:rsidR="004702E6" w:rsidRPr="004702E6" w:rsidRDefault="004702E6" w:rsidP="004702E6">
            <w:pPr>
              <w:jc w:val="both"/>
            </w:pPr>
            <w:r w:rsidRPr="004702E6">
              <w:t>Stanje obveza na dan 31.12.202</w:t>
            </w:r>
            <w:r w:rsidR="001C6022">
              <w:t>3</w:t>
            </w:r>
            <w:r w:rsidRPr="004702E6">
              <w:t xml:space="preserve">. godine iznosilo je </w:t>
            </w:r>
            <w:r w:rsidR="001C6022">
              <w:t>3,6</w:t>
            </w:r>
            <w:r w:rsidRPr="004702E6">
              <w:t xml:space="preserve"> mil </w:t>
            </w:r>
            <w:r w:rsidR="001C6022">
              <w:t>eur</w:t>
            </w:r>
            <w:r w:rsidRPr="004702E6">
              <w:t xml:space="preserve">, što je </w:t>
            </w:r>
            <w:r w:rsidR="001C6022">
              <w:t xml:space="preserve">povećanje </w:t>
            </w:r>
            <w:r w:rsidRPr="004702E6">
              <w:t xml:space="preserve"> za 1,6 mil. </w:t>
            </w:r>
            <w:r w:rsidR="001C6022">
              <w:t xml:space="preserve">eur </w:t>
            </w:r>
            <w:r w:rsidRPr="004702E6">
              <w:t>u odnosu na stanje 01.01. 202</w:t>
            </w:r>
            <w:r w:rsidR="001C6022">
              <w:t>3</w:t>
            </w:r>
            <w:r w:rsidRPr="004702E6">
              <w:t>. godine.</w:t>
            </w:r>
          </w:p>
        </w:tc>
      </w:tr>
    </w:tbl>
    <w:p w14:paraId="0B1BEF07" w14:textId="77777777" w:rsidR="004702E6" w:rsidRDefault="004702E6" w:rsidP="00C32D14"/>
    <w:tbl>
      <w:tblPr>
        <w:tblStyle w:val="TableGrid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</w:tblGrid>
      <w:tr w:rsidR="0093258F" w:rsidRPr="0093258F" w14:paraId="064E7F3D" w14:textId="77777777" w:rsidTr="0093258F">
        <w:tc>
          <w:tcPr>
            <w:tcW w:w="7649" w:type="dxa"/>
          </w:tcPr>
          <w:p w14:paraId="2BEEE185" w14:textId="77777777" w:rsidR="0093258F" w:rsidRPr="0093258F" w:rsidRDefault="0093258F" w:rsidP="00C911CA">
            <w:pPr>
              <w:jc w:val="both"/>
            </w:pPr>
            <w:r w:rsidRPr="0093258F">
              <w:t>Obveze su redovito podmirivane o dospijeću, tako da ministarstvo nema dospjelih, a nepodmirenih obveza. Uobičajeni rokovi plaćanja iznose 30 dana od dana nastanka dužničko vjerovničkog odnosa.</w:t>
            </w:r>
          </w:p>
        </w:tc>
      </w:tr>
    </w:tbl>
    <w:p w14:paraId="765F36E7" w14:textId="77777777" w:rsidR="00C32D14" w:rsidRDefault="00C32D14" w:rsidP="00C32D14"/>
    <w:p w14:paraId="0ADFC1A3" w14:textId="77777777" w:rsidR="0027244C" w:rsidRDefault="0027244C" w:rsidP="00C32D14"/>
    <w:p w14:paraId="3DCA42A4" w14:textId="24ED3C2E" w:rsidR="00C32D14" w:rsidRPr="00945A37" w:rsidRDefault="004037F2" w:rsidP="00C32D14">
      <w:pPr>
        <w:rPr>
          <w:b/>
          <w:bCs/>
        </w:rPr>
      </w:pPr>
      <w:r>
        <w:rPr>
          <w:b/>
          <w:bCs/>
        </w:rPr>
        <w:t xml:space="preserve">        </w:t>
      </w:r>
      <w:r w:rsidR="00C32D14" w:rsidRPr="00945A37">
        <w:rPr>
          <w:b/>
          <w:bCs/>
        </w:rPr>
        <w:t>Vlastiti izvori</w:t>
      </w:r>
    </w:p>
    <w:p w14:paraId="136B57D6" w14:textId="77777777" w:rsidR="00C32D14" w:rsidRPr="00274282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4702E6" w:rsidRPr="004702E6" w14:paraId="7DEDF8A4" w14:textId="77777777" w:rsidTr="004702E6">
        <w:tc>
          <w:tcPr>
            <w:tcW w:w="1555" w:type="dxa"/>
          </w:tcPr>
          <w:p w14:paraId="3D2602CC" w14:textId="77777777" w:rsidR="004702E6" w:rsidRPr="004702E6" w:rsidRDefault="004702E6" w:rsidP="00825258">
            <w:r w:rsidRPr="004702E6">
              <w:t>Šifra 9</w:t>
            </w:r>
          </w:p>
        </w:tc>
        <w:tc>
          <w:tcPr>
            <w:tcW w:w="7507" w:type="dxa"/>
          </w:tcPr>
          <w:p w14:paraId="6FFEEEE4" w14:textId="6F80D1AD" w:rsidR="005369C4" w:rsidRDefault="004702E6" w:rsidP="005369C4">
            <w:r w:rsidRPr="004702E6">
              <w:t>Vlastiti izvori iznose 6</w:t>
            </w:r>
            <w:r w:rsidR="007D3395">
              <w:t>,5</w:t>
            </w:r>
            <w:r w:rsidRPr="004702E6">
              <w:t xml:space="preserve"> mil. </w:t>
            </w:r>
            <w:r w:rsidR="007D3395">
              <w:t>eur</w:t>
            </w:r>
            <w:r w:rsidRPr="004702E6">
              <w:t xml:space="preserve"> i odnose se na izvore iz proračuna i višak rezultata poslovanja.</w:t>
            </w:r>
            <w:r w:rsidR="005369C4">
              <w:t xml:space="preserve"> Na vlastite izvore otpada </w:t>
            </w:r>
            <w:r w:rsidR="007D3395">
              <w:t>64</w:t>
            </w:r>
            <w:r w:rsidR="005369C4">
              <w:t>%  ukupne pasive.</w:t>
            </w:r>
          </w:p>
          <w:p w14:paraId="764631B6" w14:textId="5AFACF92" w:rsidR="004702E6" w:rsidRPr="004702E6" w:rsidRDefault="005369C4" w:rsidP="005369C4">
            <w:pPr>
              <w:jc w:val="both"/>
            </w:pPr>
            <w:r>
              <w:t xml:space="preserve">Vlastiti izvore iz proračuna </w:t>
            </w:r>
            <w:r w:rsidR="007D3395">
              <w:t>povećani</w:t>
            </w:r>
            <w:r>
              <w:t xml:space="preserve"> su za </w:t>
            </w:r>
            <w:r w:rsidR="007D3395">
              <w:t>19</w:t>
            </w:r>
            <w:r>
              <w:t xml:space="preserve"> %, kao posljedica </w:t>
            </w:r>
            <w:r w:rsidR="007D3395">
              <w:t xml:space="preserve">povećanja nefinancijske </w:t>
            </w:r>
            <w:r>
              <w:t xml:space="preserve">imovine. Vrijednost vlastitih izvora smanjena je za </w:t>
            </w:r>
            <w:r w:rsidR="007D3395">
              <w:t>1,86</w:t>
            </w:r>
            <w:r>
              <w:t xml:space="preserve">  mil. </w:t>
            </w:r>
            <w:r w:rsidR="007D3395">
              <w:t>eur</w:t>
            </w:r>
            <w:r>
              <w:t xml:space="preserve"> u odnosu na početak godine, kao posljedica godišnje amortizacije nefinancijske imovine</w:t>
            </w:r>
            <w:r w:rsidR="00657A07">
              <w:t xml:space="preserve"> i smanjenje vrijednosti financijske imovine.</w:t>
            </w:r>
          </w:p>
        </w:tc>
      </w:tr>
    </w:tbl>
    <w:p w14:paraId="252CDEA0" w14:textId="77777777" w:rsidR="004702E6" w:rsidRDefault="004702E6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4702E6" w:rsidRPr="004702E6" w14:paraId="74FD36EF" w14:textId="77777777" w:rsidTr="004702E6">
        <w:tc>
          <w:tcPr>
            <w:tcW w:w="1555" w:type="dxa"/>
          </w:tcPr>
          <w:p w14:paraId="3B2D9BD8" w14:textId="77777777" w:rsidR="004702E6" w:rsidRPr="004702E6" w:rsidRDefault="004702E6" w:rsidP="00690F83">
            <w:r w:rsidRPr="004702E6">
              <w:t>Šifra 92211</w:t>
            </w:r>
          </w:p>
        </w:tc>
        <w:tc>
          <w:tcPr>
            <w:tcW w:w="7507" w:type="dxa"/>
          </w:tcPr>
          <w:p w14:paraId="5FC072B3" w14:textId="57747ABC" w:rsidR="004702E6" w:rsidRPr="004702E6" w:rsidRDefault="004702E6" w:rsidP="004702E6">
            <w:pPr>
              <w:jc w:val="both"/>
            </w:pPr>
            <w:r w:rsidRPr="004702E6">
              <w:t xml:space="preserve">Višak prihoda poslovanja u iznosu od </w:t>
            </w:r>
            <w:r w:rsidR="00FD2CAF">
              <w:t>2,8 mil.eur</w:t>
            </w:r>
            <w:r w:rsidRPr="004702E6">
              <w:t>,</w:t>
            </w:r>
            <w:r w:rsidR="00FD2CAF">
              <w:t xml:space="preserve"> </w:t>
            </w:r>
            <w:r w:rsidRPr="004702E6">
              <w:t xml:space="preserve"> rezultat je </w:t>
            </w:r>
            <w:r w:rsidR="00FD2CAF">
              <w:t>manjka</w:t>
            </w:r>
            <w:r w:rsidRPr="004702E6">
              <w:t xml:space="preserve"> prihoda poslovanja  tekuće godine i prenesenog  viška iz ranijih godina.</w:t>
            </w:r>
          </w:p>
        </w:tc>
      </w:tr>
    </w:tbl>
    <w:p w14:paraId="25A9E487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4702E6" w:rsidRPr="004702E6" w14:paraId="1CB01C2C" w14:textId="77777777" w:rsidTr="004702E6">
        <w:tc>
          <w:tcPr>
            <w:tcW w:w="1555" w:type="dxa"/>
          </w:tcPr>
          <w:p w14:paraId="5AE0AC4C" w14:textId="77777777" w:rsidR="004702E6" w:rsidRPr="004702E6" w:rsidRDefault="004702E6" w:rsidP="000C7B95">
            <w:r w:rsidRPr="004702E6">
              <w:t>Šifra 92222</w:t>
            </w:r>
          </w:p>
        </w:tc>
        <w:tc>
          <w:tcPr>
            <w:tcW w:w="7507" w:type="dxa"/>
          </w:tcPr>
          <w:p w14:paraId="783ECFA0" w14:textId="56C89736" w:rsidR="004702E6" w:rsidRPr="004702E6" w:rsidRDefault="004702E6" w:rsidP="000C7B95">
            <w:r w:rsidRPr="004702E6">
              <w:t xml:space="preserve">Manjak prihoda od nefinancijske imovine iznosi </w:t>
            </w:r>
            <w:r w:rsidR="00FD2CAF">
              <w:t>965 tis. eur.</w:t>
            </w:r>
          </w:p>
        </w:tc>
      </w:tr>
    </w:tbl>
    <w:p w14:paraId="7ABD9974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4702E6" w:rsidRPr="004702E6" w14:paraId="3A84B768" w14:textId="77777777" w:rsidTr="004702E6">
        <w:tc>
          <w:tcPr>
            <w:tcW w:w="1555" w:type="dxa"/>
          </w:tcPr>
          <w:p w14:paraId="07F444E3" w14:textId="77777777" w:rsidR="004702E6" w:rsidRPr="004702E6" w:rsidRDefault="004702E6" w:rsidP="007D5EC5">
            <w:r w:rsidRPr="004702E6">
              <w:t>Šifra 922</w:t>
            </w:r>
          </w:p>
        </w:tc>
        <w:tc>
          <w:tcPr>
            <w:tcW w:w="7507" w:type="dxa"/>
          </w:tcPr>
          <w:p w14:paraId="4103669F" w14:textId="12BA6B66" w:rsidR="004702E6" w:rsidRPr="004702E6" w:rsidRDefault="004702E6" w:rsidP="007D5EC5">
            <w:r w:rsidRPr="004702E6">
              <w:t xml:space="preserve">Ukupni višak prihoda iznosi </w:t>
            </w:r>
            <w:r w:rsidR="00FD2CAF">
              <w:t>1,88 mil. eur.</w:t>
            </w:r>
          </w:p>
        </w:tc>
      </w:tr>
    </w:tbl>
    <w:p w14:paraId="73F85C74" w14:textId="47B4D5AB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4702E6" w:rsidRPr="004702E6" w14:paraId="1302FA3A" w14:textId="77777777" w:rsidTr="004702E6">
        <w:tc>
          <w:tcPr>
            <w:tcW w:w="1555" w:type="dxa"/>
          </w:tcPr>
          <w:p w14:paraId="483A3CBE" w14:textId="77777777" w:rsidR="004702E6" w:rsidRPr="004702E6" w:rsidRDefault="004702E6" w:rsidP="00E12D4B">
            <w:r w:rsidRPr="004702E6">
              <w:t>Šifra 96</w:t>
            </w:r>
          </w:p>
        </w:tc>
        <w:tc>
          <w:tcPr>
            <w:tcW w:w="7507" w:type="dxa"/>
          </w:tcPr>
          <w:p w14:paraId="7D391C63" w14:textId="651FE418" w:rsidR="004702E6" w:rsidRPr="004702E6" w:rsidRDefault="004702E6" w:rsidP="004702E6">
            <w:pPr>
              <w:jc w:val="both"/>
            </w:pPr>
            <w:r w:rsidRPr="004702E6">
              <w:t xml:space="preserve">Obračunati su prihodi poslovanja u iznosu </w:t>
            </w:r>
            <w:r w:rsidR="00657A07">
              <w:t>3,67 mil. eur</w:t>
            </w:r>
            <w:r w:rsidRPr="004702E6">
              <w:t>, odnose se na obračunate pomoći od međunarodnih organizacija i tijela EU, te prihode od kamata na zajmove, te prihode od pruženih usluga.</w:t>
            </w:r>
          </w:p>
        </w:tc>
      </w:tr>
    </w:tbl>
    <w:p w14:paraId="3EC5FB2E" w14:textId="77777777" w:rsidR="004702E6" w:rsidRDefault="004702E6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4702E6" w:rsidRPr="004702E6" w14:paraId="3F0B97D8" w14:textId="77777777" w:rsidTr="004702E6">
        <w:tc>
          <w:tcPr>
            <w:tcW w:w="1555" w:type="dxa"/>
          </w:tcPr>
          <w:p w14:paraId="4D25B957" w14:textId="77777777" w:rsidR="004702E6" w:rsidRPr="004702E6" w:rsidRDefault="004702E6" w:rsidP="007E0447">
            <w:r w:rsidRPr="004702E6">
              <w:t>Šifra 996</w:t>
            </w:r>
          </w:p>
        </w:tc>
        <w:tc>
          <w:tcPr>
            <w:tcW w:w="7507" w:type="dxa"/>
          </w:tcPr>
          <w:p w14:paraId="3B441CA4" w14:textId="27F18158" w:rsidR="004702E6" w:rsidRPr="004702E6" w:rsidRDefault="004702E6" w:rsidP="004702E6">
            <w:pPr>
              <w:jc w:val="both"/>
            </w:pPr>
            <w:r w:rsidRPr="004702E6">
              <w:t>Izvan-bilančni zapisi 1</w:t>
            </w:r>
            <w:r w:rsidR="003E5899">
              <w:t>26,6 mil eur</w:t>
            </w:r>
            <w:r w:rsidRPr="004702E6">
              <w:t xml:space="preserve"> – na ovoj poziciji evidentirane su bankarske garancije za uredno  izvršenje ugovora, kao i jamčevni polozi te potraživanja za isplaćene predujmove. Vrijednosti instrumenata osiguranja plaćanja :bankarske garancije, police osiguranja i bianco zadužnice iznose ukupno </w:t>
            </w:r>
            <w:r w:rsidR="0099335A">
              <w:t>135</w:t>
            </w:r>
            <w:r w:rsidRPr="004702E6">
              <w:t xml:space="preserve"> mil. </w:t>
            </w:r>
            <w:r w:rsidR="0099335A">
              <w:t>eur</w:t>
            </w:r>
            <w:r w:rsidRPr="004702E6">
              <w:t xml:space="preserve">. Potencijalne obveze po  sporovima u tijeku procijenjene vrijednosti  </w:t>
            </w:r>
            <w:r w:rsidR="0099335A">
              <w:t>1,1</w:t>
            </w:r>
            <w:r w:rsidR="00FA7A76">
              <w:t xml:space="preserve"> </w:t>
            </w:r>
            <w:r w:rsidRPr="004702E6">
              <w:t xml:space="preserve">mil. </w:t>
            </w:r>
            <w:r w:rsidR="0099335A">
              <w:t>eur</w:t>
            </w:r>
            <w:r w:rsidRPr="004702E6">
              <w:t xml:space="preserve">. </w:t>
            </w:r>
            <w:r>
              <w:t xml:space="preserve">Dužnički vrijednosni papiri RHMJ-A-A/SDA vrijednost </w:t>
            </w:r>
            <w:r w:rsidR="0043438A">
              <w:t xml:space="preserve">540 </w:t>
            </w:r>
            <w:r>
              <w:t xml:space="preserve"> mil. </w:t>
            </w:r>
            <w:r w:rsidR="0043438A">
              <w:t>eur.</w:t>
            </w:r>
            <w:r>
              <w:t xml:space="preserve"> Tijekom  2015. godine izvršen je postupak posljednje zamjene dužničkih vrijednosnih papira za dionice poduzeća u vlasništvu RH</w:t>
            </w:r>
            <w:r w:rsidR="0043438A">
              <w:t>.</w:t>
            </w:r>
          </w:p>
        </w:tc>
      </w:tr>
    </w:tbl>
    <w:p w14:paraId="0BE659CD" w14:textId="0EAB6FC8" w:rsidR="00C32D14" w:rsidRDefault="00C32D14" w:rsidP="00C32D14"/>
    <w:tbl>
      <w:tblPr>
        <w:tblStyle w:val="TableGrid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7"/>
      </w:tblGrid>
      <w:tr w:rsidR="0093258F" w:rsidRPr="0093258F" w14:paraId="6227E127" w14:textId="77777777" w:rsidTr="0093258F">
        <w:tc>
          <w:tcPr>
            <w:tcW w:w="7507" w:type="dxa"/>
          </w:tcPr>
          <w:p w14:paraId="4FD965EC" w14:textId="184E84C9" w:rsidR="0093258F" w:rsidRPr="0093258F" w:rsidRDefault="0093258F" w:rsidP="005F69C7">
            <w:pPr>
              <w:jc w:val="both"/>
            </w:pPr>
            <w:r w:rsidRPr="0093258F">
              <w:t>U izvanbilančnim evidencijama nalaze se i potencijalni rashodi (dospijevaju u 202</w:t>
            </w:r>
            <w:r w:rsidR="0099335A">
              <w:t>4</w:t>
            </w:r>
            <w:r w:rsidRPr="0093258F">
              <w:t xml:space="preserve">. godini) na skupinama konta 363,366,381,382 koji zbog gotovinskog načela (konsolidacija na nivou države), nisu evidentirani kao obveze, ukupne vrijednosti </w:t>
            </w:r>
            <w:r w:rsidR="0099335A">
              <w:t>1,4</w:t>
            </w:r>
            <w:r w:rsidRPr="0093258F">
              <w:t xml:space="preserve"> mil</w:t>
            </w:r>
            <w:r w:rsidR="00FA7A76">
              <w:t>.</w:t>
            </w:r>
            <w:r w:rsidRPr="0093258F">
              <w:t xml:space="preserve"> </w:t>
            </w:r>
            <w:r w:rsidR="0099335A">
              <w:t>eur</w:t>
            </w:r>
            <w:r w:rsidRPr="0093258F">
              <w:t>.</w:t>
            </w:r>
            <w:r w:rsidR="0099335A">
              <w:t xml:space="preserve"> </w:t>
            </w:r>
            <w:r w:rsidRPr="0093258F">
              <w:t xml:space="preserve">Vrijednost tuđe imovine koju koristi ministarstvo , namještaj od Croatia  osiguranja u iznosu od </w:t>
            </w:r>
            <w:r w:rsidR="0099335A">
              <w:t>111.771</w:t>
            </w:r>
            <w:r w:rsidRPr="0093258F">
              <w:t xml:space="preserve"> </w:t>
            </w:r>
            <w:r w:rsidR="0099335A">
              <w:t>eur</w:t>
            </w:r>
            <w:r w:rsidRPr="0093258F">
              <w:t xml:space="preserve"> i automobili u leasingu </w:t>
            </w:r>
            <w:r w:rsidR="0099335A">
              <w:t>366.634 eur.</w:t>
            </w:r>
          </w:p>
        </w:tc>
      </w:tr>
    </w:tbl>
    <w:p w14:paraId="505968B0" w14:textId="0E1D6762" w:rsidR="00C32D14" w:rsidRDefault="00C32D14" w:rsidP="00C32D14"/>
    <w:p w14:paraId="4F3FA96A" w14:textId="77777777" w:rsidR="00364FC7" w:rsidRDefault="00364FC7" w:rsidP="00C32D14"/>
    <w:p w14:paraId="1913CEE7" w14:textId="77777777" w:rsidR="005369C4" w:rsidRDefault="005369C4" w:rsidP="00C32D14"/>
    <w:p w14:paraId="714E43FF" w14:textId="478BE6AD" w:rsidR="00C32D14" w:rsidRPr="004702E6" w:rsidRDefault="00C32D14" w:rsidP="005369C4">
      <w:pPr>
        <w:pStyle w:val="Heading1"/>
        <w:ind w:left="709" w:hanging="709"/>
        <w:rPr>
          <w:i/>
        </w:rPr>
      </w:pPr>
      <w:r w:rsidRPr="004702E6">
        <w:lastRenderedPageBreak/>
        <w:t xml:space="preserve">BILJEŠKE  UZ  IZVJEŠTAJ O RASHODIMA PREMA </w:t>
      </w:r>
      <w:r w:rsidRPr="004702E6">
        <w:rPr>
          <w:i/>
          <w:iCs/>
        </w:rPr>
        <w:t>FUNKCIJSKOJ</w:t>
      </w:r>
      <w:r w:rsidRPr="004702E6">
        <w:rPr>
          <w:i/>
        </w:rPr>
        <w:t xml:space="preserve"> KLASIFIKACIJI</w:t>
      </w:r>
    </w:p>
    <w:p w14:paraId="6B40E2A7" w14:textId="77777777" w:rsidR="00C32D14" w:rsidRDefault="00C32D14" w:rsidP="005369C4">
      <w:pPr>
        <w:ind w:left="709" w:hanging="709"/>
        <w:rPr>
          <w:b/>
          <w:i/>
        </w:rPr>
      </w:pPr>
    </w:p>
    <w:p w14:paraId="52C5B559" w14:textId="38BE0976" w:rsidR="00C32D14" w:rsidRDefault="00C32D14" w:rsidP="00C32D14">
      <w:r>
        <w:t>Struktura rashoda prema funkcijskoj klasifikaciji je sljedeća:</w:t>
      </w:r>
    </w:p>
    <w:p w14:paraId="05CAFC7D" w14:textId="77777777" w:rsidR="00C32D14" w:rsidRDefault="00C32D14" w:rsidP="00C32D14"/>
    <w:p w14:paraId="48D5A014" w14:textId="463943F7" w:rsidR="00C32D14" w:rsidRDefault="00C32D14" w:rsidP="005369C4">
      <w:pPr>
        <w:numPr>
          <w:ilvl w:val="0"/>
          <w:numId w:val="14"/>
        </w:numPr>
        <w:ind w:left="360"/>
        <w:jc w:val="both"/>
      </w:pPr>
      <w:r w:rsidRPr="00A648EB">
        <w:rPr>
          <w:i/>
        </w:rPr>
        <w:t>Ekonomski poslovi</w:t>
      </w:r>
      <w:r>
        <w:t xml:space="preserve"> 8</w:t>
      </w:r>
      <w:r w:rsidR="00747723">
        <w:t>,5</w:t>
      </w:r>
      <w:r>
        <w:t xml:space="preserve">% ukupnih rashoda, ovu skupinu čine rashodi Uprave za strateško planiranje, vodoopskrbe na otocima, te rashodi administracije i upravljanja Ministarstva. Povećan je relativni udio ove funkcijske skupine u ukupnim rashodima u odnosu na prethodnu godinu kada je iznosio </w:t>
      </w:r>
      <w:r w:rsidR="00747723">
        <w:t>8</w:t>
      </w:r>
      <w:r>
        <w:t>%.</w:t>
      </w:r>
    </w:p>
    <w:p w14:paraId="466AF057" w14:textId="77777777" w:rsidR="00C32D14" w:rsidRDefault="00C32D14" w:rsidP="005369C4">
      <w:pPr>
        <w:jc w:val="both"/>
      </w:pPr>
    </w:p>
    <w:p w14:paraId="3C368B3D" w14:textId="35970D91" w:rsidR="00C32D14" w:rsidRDefault="00C32D14" w:rsidP="005369C4">
      <w:pPr>
        <w:numPr>
          <w:ilvl w:val="0"/>
          <w:numId w:val="14"/>
        </w:numPr>
        <w:ind w:left="360"/>
        <w:jc w:val="both"/>
      </w:pPr>
      <w:r w:rsidRPr="00002C53">
        <w:rPr>
          <w:i/>
        </w:rPr>
        <w:t>Usluge unapređenja stanovanja i zajednice</w:t>
      </w:r>
      <w:r>
        <w:t xml:space="preserve"> predstavljaju 9</w:t>
      </w:r>
      <w:r w:rsidR="00747723">
        <w:t>1,5</w:t>
      </w:r>
      <w:r>
        <w:t>% ukupnih rashoda,vezani su za djelatnosti regionalnog razvoja: Operativni program konkurentnost i kohezija, Razvoj  potpomognutih područja, Regionalni razvojni projekti,</w:t>
      </w:r>
      <w:r w:rsidR="003B152F">
        <w:t xml:space="preserve"> </w:t>
      </w:r>
      <w:r>
        <w:t>Sufinanciranje EU projekata, Fond za kapitalne projekte na otocima, Fond za razvoj brdsko-planinskih područja.</w:t>
      </w:r>
      <w:r w:rsidR="001D2DC4">
        <w:t xml:space="preserve"> </w:t>
      </w:r>
      <w:r>
        <w:t>U ovu skupinu rashoda spadaju i rashodi IPA programa teritorijalne suradnje, zatim</w:t>
      </w:r>
      <w:r w:rsidR="001D2DC4">
        <w:t xml:space="preserve"> </w:t>
      </w:r>
      <w:r>
        <w:t>programi Razvoja otoka i priobalja.</w:t>
      </w:r>
      <w:r w:rsidR="001D2DC4">
        <w:t xml:space="preserve"> </w:t>
      </w:r>
      <w:r>
        <w:t>Preko ove funkcijske skupine rashoda ostvaruje se temeljna zadaća Ministarstva</w:t>
      </w:r>
      <w:r w:rsidR="001D2DC4">
        <w:t xml:space="preserve"> r</w:t>
      </w:r>
      <w:r>
        <w:t>avnomjeran regionalni razvoj svih dijelova Republike Hrvatske.</w:t>
      </w:r>
    </w:p>
    <w:p w14:paraId="13886A32" w14:textId="77777777" w:rsidR="00C32D14" w:rsidRDefault="00C32D14" w:rsidP="00C32D14"/>
    <w:p w14:paraId="591AB970" w14:textId="77777777" w:rsidR="00C32D14" w:rsidRDefault="00C32D14" w:rsidP="00C32D14">
      <w:pPr>
        <w:rPr>
          <w:i/>
        </w:rPr>
      </w:pPr>
    </w:p>
    <w:p w14:paraId="121C8C3F" w14:textId="17030FE1" w:rsidR="00C32D14" w:rsidRPr="00C32D14" w:rsidRDefault="00C32D14" w:rsidP="005369C4">
      <w:pPr>
        <w:pStyle w:val="Heading1"/>
      </w:pPr>
      <w:r w:rsidRPr="00C32D14">
        <w:t>BILJEŠKE UZ PROMJENE U VRIJEDNOSTI IMOVINE I OBVEZA</w:t>
      </w:r>
    </w:p>
    <w:p w14:paraId="078B0A0C" w14:textId="77777777" w:rsidR="00C32D14" w:rsidRDefault="00C32D14" w:rsidP="00C32D14">
      <w:pPr>
        <w:jc w:val="both"/>
      </w:pPr>
    </w:p>
    <w:p w14:paraId="20928C80" w14:textId="4C9C8580" w:rsidR="00C32D14" w:rsidRDefault="00C32D14" w:rsidP="00C32D14">
      <w:pPr>
        <w:jc w:val="both"/>
      </w:pPr>
      <w:r>
        <w:t xml:space="preserve">Promjene </w:t>
      </w:r>
      <w:r>
        <w:rPr>
          <w:i/>
        </w:rPr>
        <w:t>obujm</w:t>
      </w:r>
      <w:r w:rsidR="005369C4">
        <w:rPr>
          <w:i/>
        </w:rPr>
        <w:t>a</w:t>
      </w:r>
      <w:r>
        <w:rPr>
          <w:i/>
        </w:rPr>
        <w:t xml:space="preserve"> imovine</w:t>
      </w:r>
      <w:r>
        <w:t xml:space="preserve"> na strani </w:t>
      </w:r>
      <w:r>
        <w:rPr>
          <w:i/>
        </w:rPr>
        <w:t>smanjenja</w:t>
      </w:r>
      <w:r>
        <w:t xml:space="preserve"> u ukupnom iznosu od </w:t>
      </w:r>
      <w:r w:rsidR="001E3860">
        <w:t>432,17 eur</w:t>
      </w:r>
      <w:r>
        <w:t xml:space="preserve">. </w:t>
      </w:r>
    </w:p>
    <w:p w14:paraId="3124CF10" w14:textId="77777777" w:rsidR="00C32D14" w:rsidRDefault="00C32D14" w:rsidP="00C32D14">
      <w:pPr>
        <w:jc w:val="both"/>
      </w:pPr>
    </w:p>
    <w:p w14:paraId="622B973B" w14:textId="2B7B0601" w:rsidR="00C32D14" w:rsidRDefault="00C32D14" w:rsidP="00C32D14">
      <w:pPr>
        <w:jc w:val="both"/>
      </w:pPr>
      <w:r>
        <w:t xml:space="preserve">Smanjenje </w:t>
      </w:r>
      <w:r>
        <w:rPr>
          <w:i/>
        </w:rPr>
        <w:t>obujma</w:t>
      </w:r>
      <w:r>
        <w:t xml:space="preserve"> nefinancijske imovine vezano je za utvrđeni manjak neotpisanog dijela nefinancijske imovine i to: </w:t>
      </w:r>
      <w:r w:rsidR="00E21C46">
        <w:t xml:space="preserve">uredski namještaj (stolice), TV prijemnik, te neispravna </w:t>
      </w:r>
      <w:r w:rsidR="0008284F">
        <w:t xml:space="preserve">i zatarjela </w:t>
      </w:r>
      <w:r w:rsidR="00E21C46">
        <w:t>računalna oprema.</w:t>
      </w:r>
    </w:p>
    <w:p w14:paraId="751A0240" w14:textId="77777777" w:rsidR="00C32D14" w:rsidRDefault="00C32D14" w:rsidP="00C32D14">
      <w:pPr>
        <w:rPr>
          <w:b/>
        </w:rPr>
      </w:pPr>
    </w:p>
    <w:p w14:paraId="74DCAAD5" w14:textId="6EA1BA89" w:rsidR="00C32D14" w:rsidRPr="00A64E5B" w:rsidRDefault="00C32D14" w:rsidP="00C32D14">
      <w:pPr>
        <w:rPr>
          <w:b/>
        </w:rPr>
      </w:pPr>
    </w:p>
    <w:p w14:paraId="600BE9A3" w14:textId="65C55C7D" w:rsidR="00C32D14" w:rsidRPr="005369C4" w:rsidRDefault="00C32D14" w:rsidP="00C32D14">
      <w:pPr>
        <w:rPr>
          <w:bCs/>
        </w:rPr>
      </w:pPr>
      <w:r w:rsidRPr="005369C4">
        <w:rPr>
          <w:bCs/>
        </w:rPr>
        <w:t xml:space="preserve">Zagreb, </w:t>
      </w:r>
      <w:r w:rsidR="00E50BED">
        <w:rPr>
          <w:bCs/>
        </w:rPr>
        <w:t>29</w:t>
      </w:r>
      <w:r w:rsidRPr="005369C4">
        <w:rPr>
          <w:bCs/>
        </w:rPr>
        <w:t>. siječanj 202</w:t>
      </w:r>
      <w:r w:rsidR="00E50BED">
        <w:rPr>
          <w:bCs/>
        </w:rPr>
        <w:t>4</w:t>
      </w:r>
      <w:r w:rsidRPr="005369C4">
        <w:rPr>
          <w:bCs/>
        </w:rPr>
        <w:t>. godine.</w:t>
      </w:r>
    </w:p>
    <w:p w14:paraId="440F0561" w14:textId="46C07456" w:rsidR="00C32D14" w:rsidRDefault="00C32D14" w:rsidP="00C32D14">
      <w:pPr>
        <w:rPr>
          <w:i/>
          <w:iCs/>
        </w:rPr>
      </w:pPr>
    </w:p>
    <w:p w14:paraId="603BDA09" w14:textId="77777777" w:rsidR="003E57D0" w:rsidRPr="00A76ABC" w:rsidRDefault="003E57D0" w:rsidP="00C32D14">
      <w:pPr>
        <w:rPr>
          <w:i/>
          <w:iCs/>
        </w:rPr>
      </w:pPr>
    </w:p>
    <w:p w14:paraId="473C08E9" w14:textId="73288074" w:rsidR="00C32D14" w:rsidRDefault="00C32D14" w:rsidP="00C32D14">
      <w:r>
        <w:t>Bilješke sastavio:</w:t>
      </w:r>
    </w:p>
    <w:p w14:paraId="73D4E5A3" w14:textId="77777777" w:rsidR="003E57D0" w:rsidRDefault="003E57D0" w:rsidP="00C32D14"/>
    <w:p w14:paraId="4A9902D9" w14:textId="77777777" w:rsidR="00C32D14" w:rsidRPr="005D0239" w:rsidRDefault="00C32D14" w:rsidP="00C32D14">
      <w:r>
        <w:t xml:space="preserve">Tomislav Čičko, dipl.oec. </w:t>
      </w:r>
    </w:p>
    <w:p w14:paraId="3FB0469C" w14:textId="497A9606" w:rsidR="005369C4" w:rsidRDefault="005369C4" w:rsidP="00C32D14">
      <w:pPr>
        <w:rPr>
          <w:b/>
        </w:rPr>
      </w:pPr>
    </w:p>
    <w:p w14:paraId="7EDA4F19" w14:textId="77777777" w:rsidR="003E57D0" w:rsidRDefault="003E57D0" w:rsidP="00C32D14">
      <w:pPr>
        <w:rPr>
          <w:b/>
        </w:rPr>
      </w:pPr>
    </w:p>
    <w:p w14:paraId="69B42CA3" w14:textId="75F1289F" w:rsidR="00C32D14" w:rsidRDefault="001D2DC4" w:rsidP="00C32D1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2D14">
        <w:tab/>
        <w:t xml:space="preserve">   </w:t>
      </w:r>
      <w:r w:rsidR="00C32D14">
        <w:tab/>
      </w:r>
      <w:r w:rsidR="00C32D14">
        <w:rPr>
          <w:b/>
        </w:rPr>
        <w:t>MINISTAR</w:t>
      </w:r>
    </w:p>
    <w:p w14:paraId="72DAE2AD" w14:textId="5236FCDC" w:rsidR="00C32D14" w:rsidRDefault="00C32D14" w:rsidP="00C32D14">
      <w:pPr>
        <w:rPr>
          <w:b/>
        </w:rPr>
      </w:pPr>
    </w:p>
    <w:p w14:paraId="228F610F" w14:textId="6F294AC7" w:rsidR="00C32D14" w:rsidRDefault="00C32D14" w:rsidP="00C32D1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Šime Erlić</w:t>
      </w:r>
    </w:p>
    <w:p w14:paraId="7E73C749" w14:textId="121B295F" w:rsidR="00881683" w:rsidRPr="001D2DC4" w:rsidRDefault="00881683">
      <w:pPr>
        <w:rPr>
          <w:b/>
        </w:rPr>
      </w:pPr>
    </w:p>
    <w:sectPr w:rsidR="00881683" w:rsidRPr="001D2D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DCC64" w14:textId="77777777" w:rsidR="00D14DC4" w:rsidRDefault="00D14DC4" w:rsidP="002969A5">
      <w:r>
        <w:separator/>
      </w:r>
    </w:p>
  </w:endnote>
  <w:endnote w:type="continuationSeparator" w:id="0">
    <w:p w14:paraId="31B0E8D7" w14:textId="77777777" w:rsidR="00D14DC4" w:rsidRDefault="00D14DC4" w:rsidP="0029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9E764" w14:textId="77777777" w:rsidR="002969A5" w:rsidRDefault="00296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87489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94A054" w14:textId="16C1FF8A" w:rsidR="00DD3FB8" w:rsidRDefault="00DD3F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54D35D" w14:textId="77777777" w:rsidR="002969A5" w:rsidRDefault="002969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C8075" w14:textId="77777777" w:rsidR="002969A5" w:rsidRDefault="00296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93318" w14:textId="77777777" w:rsidR="00D14DC4" w:rsidRDefault="00D14DC4" w:rsidP="002969A5">
      <w:r>
        <w:separator/>
      </w:r>
    </w:p>
  </w:footnote>
  <w:footnote w:type="continuationSeparator" w:id="0">
    <w:p w14:paraId="71FCB7AA" w14:textId="77777777" w:rsidR="00D14DC4" w:rsidRDefault="00D14DC4" w:rsidP="00296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59393" w14:textId="77777777" w:rsidR="002969A5" w:rsidRDefault="00296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B612A" w14:textId="77777777" w:rsidR="002969A5" w:rsidRDefault="00296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0EDB8" w14:textId="77777777" w:rsidR="002969A5" w:rsidRDefault="00296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24991"/>
    <w:multiLevelType w:val="hybridMultilevel"/>
    <w:tmpl w:val="B8E48DEC"/>
    <w:lvl w:ilvl="0" w:tplc="D5E09CC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44B5BFA"/>
    <w:multiLevelType w:val="hybridMultilevel"/>
    <w:tmpl w:val="56C67D38"/>
    <w:lvl w:ilvl="0" w:tplc="BA6E8F5C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09BA5223"/>
    <w:multiLevelType w:val="hybridMultilevel"/>
    <w:tmpl w:val="B8285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5405D"/>
    <w:multiLevelType w:val="hybridMultilevel"/>
    <w:tmpl w:val="EA66FD66"/>
    <w:lvl w:ilvl="0" w:tplc="0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17C21E5A"/>
    <w:multiLevelType w:val="hybridMultilevel"/>
    <w:tmpl w:val="DE3653A0"/>
    <w:lvl w:ilvl="0" w:tplc="FE56DC74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8D97861"/>
    <w:multiLevelType w:val="hybridMultilevel"/>
    <w:tmpl w:val="E69C6C74"/>
    <w:lvl w:ilvl="0" w:tplc="A6D6C848">
      <w:start w:val="201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8DB40BA"/>
    <w:multiLevelType w:val="hybridMultilevel"/>
    <w:tmpl w:val="A094D60C"/>
    <w:lvl w:ilvl="0" w:tplc="740C6986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38B1E1F"/>
    <w:multiLevelType w:val="hybridMultilevel"/>
    <w:tmpl w:val="5F4077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A0C99"/>
    <w:multiLevelType w:val="hybridMultilevel"/>
    <w:tmpl w:val="5992ADCE"/>
    <w:lvl w:ilvl="0" w:tplc="359ADAE0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5D97D11"/>
    <w:multiLevelType w:val="hybridMultilevel"/>
    <w:tmpl w:val="91921546"/>
    <w:lvl w:ilvl="0" w:tplc="EF6E0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D24EB"/>
    <w:multiLevelType w:val="hybridMultilevel"/>
    <w:tmpl w:val="E4AC5532"/>
    <w:lvl w:ilvl="0" w:tplc="CF58F8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3E8700DB"/>
    <w:multiLevelType w:val="hybridMultilevel"/>
    <w:tmpl w:val="2C4CCE40"/>
    <w:lvl w:ilvl="0" w:tplc="E932A3C4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447B6C65"/>
    <w:multiLevelType w:val="hybridMultilevel"/>
    <w:tmpl w:val="1B86683C"/>
    <w:lvl w:ilvl="0" w:tplc="E8407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57923"/>
    <w:multiLevelType w:val="hybridMultilevel"/>
    <w:tmpl w:val="260284B8"/>
    <w:lvl w:ilvl="0" w:tplc="330492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F300B4"/>
    <w:multiLevelType w:val="hybridMultilevel"/>
    <w:tmpl w:val="FABCAE38"/>
    <w:lvl w:ilvl="0" w:tplc="1FD0C10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C474F"/>
    <w:multiLevelType w:val="hybridMultilevel"/>
    <w:tmpl w:val="F1D297B8"/>
    <w:lvl w:ilvl="0" w:tplc="DDEC6930">
      <w:start w:val="533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5BE64E3B"/>
    <w:multiLevelType w:val="hybridMultilevel"/>
    <w:tmpl w:val="D0061984"/>
    <w:lvl w:ilvl="0" w:tplc="1FD0C10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C16FB"/>
    <w:multiLevelType w:val="hybridMultilevel"/>
    <w:tmpl w:val="59A8E470"/>
    <w:lvl w:ilvl="0" w:tplc="D9869B54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 w15:restartNumberingAfterBreak="0">
    <w:nsid w:val="658322F3"/>
    <w:multiLevelType w:val="hybridMultilevel"/>
    <w:tmpl w:val="7DF6D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A009C"/>
    <w:multiLevelType w:val="hybridMultilevel"/>
    <w:tmpl w:val="F0347D26"/>
    <w:lvl w:ilvl="0" w:tplc="1FD0C10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79642E"/>
    <w:multiLevelType w:val="hybridMultilevel"/>
    <w:tmpl w:val="5B5AE460"/>
    <w:lvl w:ilvl="0" w:tplc="DCA8B654">
      <w:start w:val="1"/>
      <w:numFmt w:val="decimal"/>
      <w:pStyle w:val="Heading1"/>
      <w:lvlText w:val="%1."/>
      <w:lvlJc w:val="left"/>
      <w:pPr>
        <w:ind w:left="720" w:hanging="360"/>
      </w:pPr>
      <w:rPr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F7D9B"/>
    <w:multiLevelType w:val="hybridMultilevel"/>
    <w:tmpl w:val="55B6AED6"/>
    <w:lvl w:ilvl="0" w:tplc="4184ED8A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351755008">
    <w:abstractNumId w:val="13"/>
  </w:num>
  <w:num w:numId="2" w16cid:durableId="392051077">
    <w:abstractNumId w:val="0"/>
  </w:num>
  <w:num w:numId="3" w16cid:durableId="1522814048">
    <w:abstractNumId w:val="21"/>
  </w:num>
  <w:num w:numId="4" w16cid:durableId="1275863069">
    <w:abstractNumId w:val="17"/>
  </w:num>
  <w:num w:numId="5" w16cid:durableId="940264748">
    <w:abstractNumId w:val="6"/>
  </w:num>
  <w:num w:numId="6" w16cid:durableId="1497040562">
    <w:abstractNumId w:val="8"/>
  </w:num>
  <w:num w:numId="7" w16cid:durableId="70779621">
    <w:abstractNumId w:val="11"/>
  </w:num>
  <w:num w:numId="8" w16cid:durableId="911744588">
    <w:abstractNumId w:val="4"/>
  </w:num>
  <w:num w:numId="9" w16cid:durableId="2035039606">
    <w:abstractNumId w:val="15"/>
  </w:num>
  <w:num w:numId="10" w16cid:durableId="494339707">
    <w:abstractNumId w:val="10"/>
  </w:num>
  <w:num w:numId="11" w16cid:durableId="1897625012">
    <w:abstractNumId w:val="2"/>
  </w:num>
  <w:num w:numId="12" w16cid:durableId="804348977">
    <w:abstractNumId w:val="5"/>
  </w:num>
  <w:num w:numId="13" w16cid:durableId="1692995134">
    <w:abstractNumId w:val="1"/>
  </w:num>
  <w:num w:numId="14" w16cid:durableId="1397893651">
    <w:abstractNumId w:val="18"/>
  </w:num>
  <w:num w:numId="15" w16cid:durableId="682244583">
    <w:abstractNumId w:val="3"/>
  </w:num>
  <w:num w:numId="16" w16cid:durableId="20668094">
    <w:abstractNumId w:val="20"/>
  </w:num>
  <w:num w:numId="17" w16cid:durableId="635723913">
    <w:abstractNumId w:val="7"/>
  </w:num>
  <w:num w:numId="18" w16cid:durableId="970598081">
    <w:abstractNumId w:val="14"/>
  </w:num>
  <w:num w:numId="19" w16cid:durableId="1336807743">
    <w:abstractNumId w:val="16"/>
  </w:num>
  <w:num w:numId="20" w16cid:durableId="140003265">
    <w:abstractNumId w:val="19"/>
  </w:num>
  <w:num w:numId="21" w16cid:durableId="771240785">
    <w:abstractNumId w:val="9"/>
  </w:num>
  <w:num w:numId="22" w16cid:durableId="2434174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5F"/>
    <w:rsid w:val="0001041E"/>
    <w:rsid w:val="00012D68"/>
    <w:rsid w:val="0002002A"/>
    <w:rsid w:val="00026F59"/>
    <w:rsid w:val="000369FA"/>
    <w:rsid w:val="00061BF3"/>
    <w:rsid w:val="00064511"/>
    <w:rsid w:val="0007647F"/>
    <w:rsid w:val="0008284F"/>
    <w:rsid w:val="00111BE4"/>
    <w:rsid w:val="0016666F"/>
    <w:rsid w:val="00180E7F"/>
    <w:rsid w:val="001B05DA"/>
    <w:rsid w:val="001C6022"/>
    <w:rsid w:val="001D2DC4"/>
    <w:rsid w:val="001E0EFA"/>
    <w:rsid w:val="001E1B95"/>
    <w:rsid w:val="001E241F"/>
    <w:rsid w:val="001E3860"/>
    <w:rsid w:val="00200E1D"/>
    <w:rsid w:val="00227737"/>
    <w:rsid w:val="002359B0"/>
    <w:rsid w:val="002560E8"/>
    <w:rsid w:val="002579B0"/>
    <w:rsid w:val="0027244C"/>
    <w:rsid w:val="00285684"/>
    <w:rsid w:val="002969A5"/>
    <w:rsid w:val="002A6CD2"/>
    <w:rsid w:val="002C3657"/>
    <w:rsid w:val="002D0EAC"/>
    <w:rsid w:val="002D4499"/>
    <w:rsid w:val="002F396C"/>
    <w:rsid w:val="00304283"/>
    <w:rsid w:val="00325F76"/>
    <w:rsid w:val="003447F1"/>
    <w:rsid w:val="003527C6"/>
    <w:rsid w:val="00364FC7"/>
    <w:rsid w:val="0037163F"/>
    <w:rsid w:val="00376348"/>
    <w:rsid w:val="00384093"/>
    <w:rsid w:val="00394A78"/>
    <w:rsid w:val="003B152F"/>
    <w:rsid w:val="003E2D39"/>
    <w:rsid w:val="003E57D0"/>
    <w:rsid w:val="003E5899"/>
    <w:rsid w:val="00402153"/>
    <w:rsid w:val="004037F2"/>
    <w:rsid w:val="0043438A"/>
    <w:rsid w:val="00434D5A"/>
    <w:rsid w:val="004702E6"/>
    <w:rsid w:val="004A38C5"/>
    <w:rsid w:val="004C678A"/>
    <w:rsid w:val="004D7043"/>
    <w:rsid w:val="004E50FA"/>
    <w:rsid w:val="005369C4"/>
    <w:rsid w:val="00542AA5"/>
    <w:rsid w:val="005448E5"/>
    <w:rsid w:val="005804C1"/>
    <w:rsid w:val="0059013A"/>
    <w:rsid w:val="005912D7"/>
    <w:rsid w:val="005C0EA5"/>
    <w:rsid w:val="005D5E31"/>
    <w:rsid w:val="006070DD"/>
    <w:rsid w:val="00621F76"/>
    <w:rsid w:val="00630C68"/>
    <w:rsid w:val="00633BC3"/>
    <w:rsid w:val="00657A07"/>
    <w:rsid w:val="006816A7"/>
    <w:rsid w:val="006822C4"/>
    <w:rsid w:val="006A72F1"/>
    <w:rsid w:val="006C7355"/>
    <w:rsid w:val="00720825"/>
    <w:rsid w:val="00747723"/>
    <w:rsid w:val="007547A4"/>
    <w:rsid w:val="00797D75"/>
    <w:rsid w:val="007A2DC3"/>
    <w:rsid w:val="007D3395"/>
    <w:rsid w:val="00816ECC"/>
    <w:rsid w:val="00825318"/>
    <w:rsid w:val="008264C0"/>
    <w:rsid w:val="0082668F"/>
    <w:rsid w:val="00827513"/>
    <w:rsid w:val="0083725F"/>
    <w:rsid w:val="00851BCD"/>
    <w:rsid w:val="00863DEA"/>
    <w:rsid w:val="00881683"/>
    <w:rsid w:val="00896F68"/>
    <w:rsid w:val="008D610A"/>
    <w:rsid w:val="008E0C3C"/>
    <w:rsid w:val="008F1163"/>
    <w:rsid w:val="009143D5"/>
    <w:rsid w:val="00930303"/>
    <w:rsid w:val="0093258F"/>
    <w:rsid w:val="00950F07"/>
    <w:rsid w:val="00961B15"/>
    <w:rsid w:val="00991164"/>
    <w:rsid w:val="0099335A"/>
    <w:rsid w:val="009C7832"/>
    <w:rsid w:val="009E2FEB"/>
    <w:rsid w:val="00A13AC4"/>
    <w:rsid w:val="00A14745"/>
    <w:rsid w:val="00A2275F"/>
    <w:rsid w:val="00A24404"/>
    <w:rsid w:val="00AB098B"/>
    <w:rsid w:val="00AD1E3A"/>
    <w:rsid w:val="00B02D16"/>
    <w:rsid w:val="00B250B9"/>
    <w:rsid w:val="00B44B9A"/>
    <w:rsid w:val="00BD4949"/>
    <w:rsid w:val="00BD6275"/>
    <w:rsid w:val="00BD6D03"/>
    <w:rsid w:val="00C0720A"/>
    <w:rsid w:val="00C31F9B"/>
    <w:rsid w:val="00C32D14"/>
    <w:rsid w:val="00C32FF7"/>
    <w:rsid w:val="00C44FFF"/>
    <w:rsid w:val="00C60AB3"/>
    <w:rsid w:val="00C74C57"/>
    <w:rsid w:val="00C75BE6"/>
    <w:rsid w:val="00C77234"/>
    <w:rsid w:val="00C779A0"/>
    <w:rsid w:val="00C85C07"/>
    <w:rsid w:val="00C93341"/>
    <w:rsid w:val="00CB3FF0"/>
    <w:rsid w:val="00D14DC4"/>
    <w:rsid w:val="00D244C9"/>
    <w:rsid w:val="00D422B9"/>
    <w:rsid w:val="00DB4B1C"/>
    <w:rsid w:val="00DD3FB8"/>
    <w:rsid w:val="00DD40FC"/>
    <w:rsid w:val="00E06B4A"/>
    <w:rsid w:val="00E21C46"/>
    <w:rsid w:val="00E34C55"/>
    <w:rsid w:val="00E50BED"/>
    <w:rsid w:val="00E84518"/>
    <w:rsid w:val="00EA49EB"/>
    <w:rsid w:val="00F06906"/>
    <w:rsid w:val="00F31B97"/>
    <w:rsid w:val="00F507AF"/>
    <w:rsid w:val="00F56139"/>
    <w:rsid w:val="00FA34FA"/>
    <w:rsid w:val="00FA7A76"/>
    <w:rsid w:val="00F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B486"/>
  <w15:chartTrackingRefBased/>
  <w15:docId w15:val="{8F624B06-9D6E-4BAF-9BDA-FCE69C7F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0FC"/>
    <w:pPr>
      <w:keepNext/>
      <w:keepLines/>
      <w:numPr>
        <w:numId w:val="16"/>
      </w:numPr>
      <w:spacing w:before="240"/>
      <w:ind w:left="0" w:firstLine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D14"/>
    <w:pPr>
      <w:ind w:left="720"/>
      <w:contextualSpacing/>
    </w:pPr>
  </w:style>
  <w:style w:type="table" w:styleId="TableGrid">
    <w:name w:val="Table Grid"/>
    <w:basedOn w:val="TableNormal"/>
    <w:uiPriority w:val="39"/>
    <w:rsid w:val="00A2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40FC"/>
    <w:rPr>
      <w:rFonts w:ascii="Times New Roman" w:eastAsiaTheme="majorEastAsia" w:hAnsi="Times New Roman" w:cstheme="majorBidi"/>
      <w:b/>
      <w:sz w:val="24"/>
      <w:szCs w:val="32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969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9A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969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9A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8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Jarnjak</dc:creator>
  <cp:keywords/>
  <dc:description/>
  <cp:lastModifiedBy>Tomislav Čičko</cp:lastModifiedBy>
  <cp:revision>86</cp:revision>
  <dcterms:created xsi:type="dcterms:W3CDTF">2024-01-22T07:12:00Z</dcterms:created>
  <dcterms:modified xsi:type="dcterms:W3CDTF">2024-01-25T07:22:00Z</dcterms:modified>
</cp:coreProperties>
</file>